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E452B" w14:textId="4FD15CBC" w:rsidR="00972FE4" w:rsidRPr="00972FE4" w:rsidRDefault="00972FE4" w:rsidP="00F76BA1">
      <w:pPr>
        <w:spacing w:after="240" w:line="259" w:lineRule="auto"/>
        <w:jc w:val="both"/>
        <w:rPr>
          <w:rFonts w:ascii="Arial" w:eastAsia="Calibri" w:hAnsi="Arial" w:cs="Arial"/>
          <w:b/>
          <w:sz w:val="24"/>
          <w:szCs w:val="24"/>
          <w:lang w:eastAsia="en-US"/>
        </w:rPr>
      </w:pPr>
      <w:r w:rsidRPr="00972FE4">
        <w:rPr>
          <w:rFonts w:ascii="Arial" w:eastAsia="Calibri" w:hAnsi="Arial" w:cs="Arial"/>
          <w:b/>
          <w:sz w:val="24"/>
          <w:szCs w:val="24"/>
          <w:lang w:eastAsia="en-US"/>
        </w:rPr>
        <w:t xml:space="preserve">NOTA INTERPRETATIVA DE LA SUBDIRECCIÓN GENERAL DE ECONOMÍA CIRCULAR EN RELACIÓN CON </w:t>
      </w:r>
      <w:r w:rsidR="00471B1D">
        <w:rPr>
          <w:rFonts w:ascii="Arial" w:eastAsia="Calibri" w:hAnsi="Arial" w:cs="Arial"/>
          <w:b/>
          <w:sz w:val="24"/>
          <w:szCs w:val="24"/>
          <w:lang w:eastAsia="en-US"/>
        </w:rPr>
        <w:t>LA</w:t>
      </w:r>
      <w:r w:rsidR="00AD0A36">
        <w:rPr>
          <w:rFonts w:ascii="Arial" w:eastAsia="Calibri" w:hAnsi="Arial" w:cs="Arial"/>
          <w:b/>
          <w:sz w:val="24"/>
          <w:szCs w:val="24"/>
          <w:lang w:eastAsia="en-US"/>
        </w:rPr>
        <w:t xml:space="preserve">S </w:t>
      </w:r>
      <w:r w:rsidR="00A4323C">
        <w:rPr>
          <w:rFonts w:ascii="Arial" w:eastAsia="Calibri" w:hAnsi="Arial" w:cs="Arial"/>
          <w:b/>
          <w:sz w:val="24"/>
          <w:szCs w:val="24"/>
          <w:lang w:eastAsia="en-US"/>
        </w:rPr>
        <w:t>CATEGORÍAS</w:t>
      </w:r>
      <w:r w:rsidR="00AD0A36">
        <w:rPr>
          <w:rFonts w:ascii="Arial" w:eastAsia="Calibri" w:hAnsi="Arial" w:cs="Arial"/>
          <w:b/>
          <w:sz w:val="24"/>
          <w:szCs w:val="24"/>
          <w:lang w:eastAsia="en-US"/>
        </w:rPr>
        <w:t xml:space="preserve"> DE ENVASE</w:t>
      </w:r>
      <w:r w:rsidR="00471B1D">
        <w:rPr>
          <w:rFonts w:ascii="Arial" w:eastAsia="Calibri" w:hAnsi="Arial" w:cs="Arial"/>
          <w:b/>
          <w:sz w:val="24"/>
          <w:szCs w:val="24"/>
          <w:lang w:eastAsia="en-US"/>
        </w:rPr>
        <w:t xml:space="preserve"> </w:t>
      </w:r>
      <w:r w:rsidR="00AD0A36">
        <w:rPr>
          <w:rFonts w:ascii="Arial" w:eastAsia="Calibri" w:hAnsi="Arial" w:cs="Arial"/>
          <w:b/>
          <w:sz w:val="24"/>
          <w:szCs w:val="24"/>
          <w:lang w:eastAsia="en-US"/>
        </w:rPr>
        <w:t xml:space="preserve">DEFINIDAS EN EL ARTÍCULO 2 </w:t>
      </w:r>
      <w:r w:rsidR="00F76BA1">
        <w:rPr>
          <w:rFonts w:ascii="Arial" w:eastAsia="Calibri" w:hAnsi="Arial" w:cs="Arial"/>
          <w:b/>
          <w:sz w:val="24"/>
          <w:szCs w:val="24"/>
          <w:lang w:eastAsia="en-US"/>
        </w:rPr>
        <w:t>DEL REAL DECRETO 1055/2022</w:t>
      </w:r>
      <w:r w:rsidRPr="00972FE4">
        <w:rPr>
          <w:rFonts w:ascii="Arial" w:eastAsia="Calibri" w:hAnsi="Arial" w:cs="Arial"/>
          <w:b/>
          <w:sz w:val="24"/>
          <w:szCs w:val="24"/>
          <w:lang w:eastAsia="en-US"/>
        </w:rPr>
        <w:t xml:space="preserve">, DE </w:t>
      </w:r>
      <w:r w:rsidR="00F76BA1">
        <w:rPr>
          <w:rFonts w:ascii="Arial" w:eastAsia="Calibri" w:hAnsi="Arial" w:cs="Arial"/>
          <w:b/>
          <w:sz w:val="24"/>
          <w:szCs w:val="24"/>
          <w:lang w:eastAsia="en-US"/>
        </w:rPr>
        <w:t>27 DE DICIEMBRE</w:t>
      </w:r>
      <w:r w:rsidRPr="00972FE4">
        <w:rPr>
          <w:rFonts w:ascii="Arial" w:eastAsia="Calibri" w:hAnsi="Arial" w:cs="Arial"/>
          <w:b/>
          <w:sz w:val="24"/>
          <w:szCs w:val="24"/>
          <w:lang w:eastAsia="en-US"/>
        </w:rPr>
        <w:t xml:space="preserve">, DE </w:t>
      </w:r>
      <w:r w:rsidR="00F76BA1">
        <w:rPr>
          <w:rFonts w:ascii="Arial" w:eastAsia="Calibri" w:hAnsi="Arial" w:cs="Arial"/>
          <w:b/>
          <w:sz w:val="24"/>
          <w:szCs w:val="24"/>
          <w:lang w:eastAsia="en-US"/>
        </w:rPr>
        <w:t>ENVASES Y RESIDUOS DE ENVASES</w:t>
      </w:r>
    </w:p>
    <w:p w14:paraId="3DD1BAD2" w14:textId="77777777" w:rsidR="00972FE4" w:rsidRPr="00972FE4" w:rsidRDefault="00972FE4">
      <w:pPr>
        <w:numPr>
          <w:ilvl w:val="0"/>
          <w:numId w:val="1"/>
        </w:numPr>
        <w:spacing w:after="240" w:line="259" w:lineRule="auto"/>
        <w:jc w:val="both"/>
        <w:rPr>
          <w:rFonts w:ascii="Arial" w:eastAsia="Calibri" w:hAnsi="Arial" w:cs="Arial"/>
          <w:b/>
          <w:sz w:val="24"/>
          <w:szCs w:val="24"/>
          <w:u w:val="single"/>
          <w:lang w:eastAsia="en-US"/>
        </w:rPr>
      </w:pPr>
      <w:r w:rsidRPr="00972FE4">
        <w:rPr>
          <w:rFonts w:ascii="Arial" w:eastAsia="Calibri" w:hAnsi="Arial" w:cs="Arial"/>
          <w:b/>
          <w:sz w:val="24"/>
          <w:szCs w:val="24"/>
          <w:u w:val="single"/>
          <w:lang w:eastAsia="en-US"/>
        </w:rPr>
        <w:t>Antecedentes</w:t>
      </w:r>
    </w:p>
    <w:p w14:paraId="0FAF703C" w14:textId="33393166" w:rsidR="00A4323C" w:rsidRDefault="00972FE4" w:rsidP="00F76BA1">
      <w:pPr>
        <w:autoSpaceDE w:val="0"/>
        <w:autoSpaceDN w:val="0"/>
        <w:adjustRightInd w:val="0"/>
        <w:snapToGrid w:val="0"/>
        <w:spacing w:after="240" w:line="259" w:lineRule="auto"/>
        <w:jc w:val="both"/>
        <w:rPr>
          <w:rFonts w:ascii="Arial" w:hAnsi="Arial" w:cs="Arial"/>
          <w:color w:val="000000"/>
          <w:sz w:val="24"/>
          <w:szCs w:val="24"/>
          <w:lang w:eastAsia="en-US"/>
        </w:rPr>
      </w:pPr>
      <w:r w:rsidRPr="00972FE4">
        <w:rPr>
          <w:rFonts w:ascii="Arial" w:eastAsia="Calibri" w:hAnsi="Arial" w:cs="Arial"/>
          <w:sz w:val="24"/>
          <w:szCs w:val="24"/>
          <w:lang w:eastAsia="en-US"/>
        </w:rPr>
        <w:t xml:space="preserve">El artículo </w:t>
      </w:r>
      <w:r w:rsidR="00F76BA1">
        <w:rPr>
          <w:rFonts w:ascii="Arial" w:eastAsia="Calibri" w:hAnsi="Arial" w:cs="Arial"/>
          <w:sz w:val="24"/>
          <w:szCs w:val="24"/>
          <w:lang w:eastAsia="en-US"/>
        </w:rPr>
        <w:t>2 del Real Decreto 1055/2022, de 27 de diciembre, de envases y residuos de envases</w:t>
      </w:r>
      <w:r w:rsidR="007B1186">
        <w:rPr>
          <w:rFonts w:ascii="Arial" w:eastAsia="Calibri" w:hAnsi="Arial" w:cs="Arial"/>
          <w:sz w:val="24"/>
          <w:szCs w:val="24"/>
          <w:lang w:eastAsia="en-US"/>
        </w:rPr>
        <w:t xml:space="preserve"> (RDERE)</w:t>
      </w:r>
      <w:r w:rsidR="00F76BA1">
        <w:rPr>
          <w:rFonts w:ascii="Arial" w:eastAsia="Calibri" w:hAnsi="Arial" w:cs="Arial"/>
          <w:sz w:val="24"/>
          <w:szCs w:val="24"/>
          <w:lang w:eastAsia="en-US"/>
        </w:rPr>
        <w:t xml:space="preserve"> </w:t>
      </w:r>
      <w:r w:rsidRPr="00972FE4">
        <w:rPr>
          <w:rFonts w:ascii="Arial" w:hAnsi="Arial" w:cs="Arial"/>
          <w:color w:val="000000"/>
          <w:sz w:val="24"/>
          <w:szCs w:val="24"/>
          <w:lang w:eastAsia="en-US"/>
        </w:rPr>
        <w:t>establece l</w:t>
      </w:r>
      <w:r w:rsidR="001A1CE7">
        <w:rPr>
          <w:rFonts w:ascii="Arial" w:hAnsi="Arial" w:cs="Arial"/>
          <w:color w:val="000000"/>
          <w:sz w:val="24"/>
          <w:szCs w:val="24"/>
          <w:lang w:eastAsia="en-US"/>
        </w:rPr>
        <w:t>as</w:t>
      </w:r>
      <w:r w:rsidRPr="00972FE4">
        <w:rPr>
          <w:rFonts w:ascii="Arial" w:hAnsi="Arial" w:cs="Arial"/>
          <w:color w:val="000000"/>
          <w:sz w:val="24"/>
          <w:szCs w:val="24"/>
          <w:lang w:eastAsia="en-US"/>
        </w:rPr>
        <w:t xml:space="preserve"> siguiente</w:t>
      </w:r>
      <w:r w:rsidR="001A1CE7">
        <w:rPr>
          <w:rFonts w:ascii="Arial" w:hAnsi="Arial" w:cs="Arial"/>
          <w:color w:val="000000"/>
          <w:sz w:val="24"/>
          <w:szCs w:val="24"/>
          <w:lang w:eastAsia="en-US"/>
        </w:rPr>
        <w:t>s definiciones</w:t>
      </w:r>
      <w:r w:rsidRPr="00972FE4">
        <w:rPr>
          <w:rFonts w:ascii="Arial" w:hAnsi="Arial" w:cs="Arial"/>
          <w:color w:val="000000"/>
          <w:sz w:val="24"/>
          <w:szCs w:val="24"/>
          <w:lang w:eastAsia="en-US"/>
        </w:rPr>
        <w:t>:</w:t>
      </w:r>
    </w:p>
    <w:p w14:paraId="77B6D584" w14:textId="77777777" w:rsidR="001A1CE7" w:rsidRDefault="001A1CE7" w:rsidP="00A4323C">
      <w:pPr>
        <w:pStyle w:val="parrafo"/>
        <w:spacing w:before="0" w:after="120" w:line="259" w:lineRule="auto"/>
        <w:ind w:left="426"/>
        <w:jc w:val="both"/>
        <w:rPr>
          <w:rFonts w:ascii="Arial" w:hAnsi="Arial" w:cs="Arial"/>
          <w:i/>
          <w:color w:val="000000"/>
          <w:lang w:eastAsia="en-US"/>
        </w:rPr>
      </w:pPr>
      <w:r w:rsidRPr="00554819">
        <w:rPr>
          <w:rFonts w:ascii="Arial" w:hAnsi="Arial" w:cs="Arial"/>
          <w:i/>
          <w:color w:val="000000"/>
          <w:u w:val="single"/>
          <w:lang w:eastAsia="en-US"/>
        </w:rPr>
        <w:t xml:space="preserve">m) </w:t>
      </w:r>
      <w:r w:rsidRPr="00554819">
        <w:rPr>
          <w:rFonts w:ascii="Arial" w:hAnsi="Arial" w:cs="Arial"/>
          <w:b/>
          <w:bCs/>
          <w:i/>
          <w:color w:val="000000"/>
          <w:u w:val="single"/>
          <w:lang w:eastAsia="en-US"/>
        </w:rPr>
        <w:t>Envase doméstico</w:t>
      </w:r>
      <w:r w:rsidRPr="00A4323C">
        <w:rPr>
          <w:rFonts w:ascii="Arial" w:hAnsi="Arial" w:cs="Arial"/>
          <w:i/>
          <w:color w:val="000000"/>
          <w:lang w:eastAsia="en-US"/>
        </w:rPr>
        <w:t>: envase de productos destinados al uso o consumo por particulares, independientemente de su carácter primario, secundario o terciario, siempre que estos envases sean susceptibles de ser adquiridos por el consumidor en los comercios, con independencia del lugar de venta o consumo</w:t>
      </w:r>
      <w:r>
        <w:rPr>
          <w:rFonts w:ascii="Arial" w:hAnsi="Arial" w:cs="Arial"/>
          <w:i/>
          <w:color w:val="000000"/>
          <w:lang w:eastAsia="en-US"/>
        </w:rPr>
        <w:t>.</w:t>
      </w:r>
    </w:p>
    <w:p w14:paraId="010A0FD8" w14:textId="3C2A2B2E" w:rsidR="00A4323C" w:rsidRDefault="00A4323C" w:rsidP="00A4323C">
      <w:pPr>
        <w:pStyle w:val="parrafo"/>
        <w:spacing w:before="0" w:after="120" w:line="259" w:lineRule="auto"/>
        <w:ind w:left="426"/>
        <w:jc w:val="both"/>
        <w:rPr>
          <w:rFonts w:ascii="Arial" w:hAnsi="Arial" w:cs="Arial"/>
          <w:i/>
          <w:color w:val="000000"/>
          <w:lang w:eastAsia="en-US"/>
        </w:rPr>
      </w:pPr>
      <w:r w:rsidRPr="00554819">
        <w:rPr>
          <w:rFonts w:ascii="Arial" w:hAnsi="Arial" w:cs="Arial"/>
          <w:i/>
          <w:color w:val="000000"/>
          <w:u w:val="single"/>
          <w:lang w:eastAsia="en-US"/>
        </w:rPr>
        <w:t xml:space="preserve">h) </w:t>
      </w:r>
      <w:r w:rsidRPr="00554819">
        <w:rPr>
          <w:rFonts w:ascii="Arial" w:hAnsi="Arial" w:cs="Arial"/>
          <w:b/>
          <w:bCs/>
          <w:i/>
          <w:color w:val="000000"/>
          <w:u w:val="single"/>
          <w:lang w:eastAsia="en-US"/>
        </w:rPr>
        <w:t>Envase comercial</w:t>
      </w:r>
      <w:r w:rsidRPr="00A4323C">
        <w:rPr>
          <w:rFonts w:ascii="Arial" w:hAnsi="Arial" w:cs="Arial"/>
          <w:i/>
          <w:color w:val="000000"/>
          <w:lang w:eastAsia="en-US"/>
        </w:rPr>
        <w:t>: envase que, sin tener la consideración de doméstico, está destinado al uso y consumo propio del ejercicio de la actividad comercial, al por mayor y al por menor, de los servicios de restauración y bares, de las oficinas y de los mercados, así como del resto del sector servicios</w:t>
      </w:r>
      <w:r>
        <w:rPr>
          <w:rFonts w:ascii="Arial" w:hAnsi="Arial" w:cs="Arial"/>
          <w:i/>
          <w:color w:val="000000"/>
          <w:lang w:eastAsia="en-US"/>
        </w:rPr>
        <w:t>.</w:t>
      </w:r>
    </w:p>
    <w:p w14:paraId="7E713B9B" w14:textId="77777777" w:rsidR="00A4323C" w:rsidRPr="00A4323C" w:rsidRDefault="00A4323C" w:rsidP="00A4323C">
      <w:pPr>
        <w:pStyle w:val="parrafo"/>
        <w:spacing w:before="0" w:after="120" w:line="259" w:lineRule="auto"/>
        <w:ind w:left="426"/>
        <w:jc w:val="both"/>
        <w:rPr>
          <w:rFonts w:ascii="Arial" w:hAnsi="Arial" w:cs="Arial"/>
          <w:i/>
          <w:color w:val="000000"/>
          <w:lang w:eastAsia="en-US"/>
        </w:rPr>
      </w:pPr>
      <w:r w:rsidRPr="00554819">
        <w:rPr>
          <w:rFonts w:ascii="Arial" w:hAnsi="Arial" w:cs="Arial"/>
          <w:i/>
          <w:color w:val="000000"/>
          <w:u w:val="single"/>
          <w:lang w:eastAsia="en-US"/>
        </w:rPr>
        <w:t xml:space="preserve">n) </w:t>
      </w:r>
      <w:r w:rsidRPr="00554819">
        <w:rPr>
          <w:rFonts w:ascii="Arial" w:hAnsi="Arial" w:cs="Arial"/>
          <w:b/>
          <w:bCs/>
          <w:i/>
          <w:color w:val="000000"/>
          <w:u w:val="single"/>
          <w:lang w:eastAsia="en-US"/>
        </w:rPr>
        <w:t>Envase industrial</w:t>
      </w:r>
      <w:r w:rsidRPr="00A4323C">
        <w:rPr>
          <w:rFonts w:ascii="Arial" w:hAnsi="Arial" w:cs="Arial"/>
          <w:i/>
          <w:color w:val="000000"/>
          <w:lang w:eastAsia="en-US"/>
        </w:rPr>
        <w:t>: envase destinado al uso y consumo propio del ejercicio de la actividad económica de las industrias, explotaciones agrícolas, ganaderas, forestales o acuícolas, con exclusión de los envases que tengan la consideración de comerciales y domésticos.</w:t>
      </w:r>
    </w:p>
    <w:p w14:paraId="66FA3517" w14:textId="1E05093B" w:rsidR="00972FE4" w:rsidRDefault="00972FE4" w:rsidP="00024CC7">
      <w:pPr>
        <w:spacing w:after="240" w:line="259" w:lineRule="auto"/>
        <w:jc w:val="both"/>
        <w:rPr>
          <w:rFonts w:ascii="Arial" w:eastAsia="Calibri" w:hAnsi="Arial" w:cs="Arial"/>
          <w:bCs/>
          <w:sz w:val="24"/>
          <w:szCs w:val="24"/>
          <w:lang w:eastAsia="en-US"/>
        </w:rPr>
      </w:pPr>
      <w:r w:rsidRPr="00972FE4">
        <w:rPr>
          <w:rFonts w:ascii="Arial" w:eastAsia="Calibri" w:hAnsi="Arial" w:cs="Arial"/>
          <w:bCs/>
          <w:sz w:val="24"/>
          <w:szCs w:val="24"/>
          <w:lang w:eastAsia="en-US"/>
        </w:rPr>
        <w:t xml:space="preserve">Tras </w:t>
      </w:r>
      <w:r w:rsidR="00F76BA1">
        <w:rPr>
          <w:rFonts w:ascii="Arial" w:eastAsia="Calibri" w:hAnsi="Arial" w:cs="Arial"/>
          <w:bCs/>
          <w:sz w:val="24"/>
          <w:szCs w:val="24"/>
          <w:lang w:eastAsia="en-US"/>
        </w:rPr>
        <w:t>la recepción de numeros</w:t>
      </w:r>
      <w:r w:rsidR="001A1CE7">
        <w:rPr>
          <w:rFonts w:ascii="Arial" w:eastAsia="Calibri" w:hAnsi="Arial" w:cs="Arial"/>
          <w:bCs/>
          <w:sz w:val="24"/>
          <w:szCs w:val="24"/>
          <w:lang w:eastAsia="en-US"/>
        </w:rPr>
        <w:t>a</w:t>
      </w:r>
      <w:r w:rsidR="00F76BA1">
        <w:rPr>
          <w:rFonts w:ascii="Arial" w:eastAsia="Calibri" w:hAnsi="Arial" w:cs="Arial"/>
          <w:bCs/>
          <w:sz w:val="24"/>
          <w:szCs w:val="24"/>
          <w:lang w:eastAsia="en-US"/>
        </w:rPr>
        <w:t>s</w:t>
      </w:r>
      <w:r w:rsidRPr="00972FE4">
        <w:rPr>
          <w:rFonts w:ascii="Arial" w:eastAsia="Calibri" w:hAnsi="Arial" w:cs="Arial"/>
          <w:bCs/>
          <w:sz w:val="24"/>
          <w:szCs w:val="24"/>
          <w:lang w:eastAsia="en-US"/>
        </w:rPr>
        <w:t xml:space="preserve"> </w:t>
      </w:r>
      <w:r w:rsidR="001A1CE7">
        <w:rPr>
          <w:rFonts w:ascii="Arial" w:eastAsia="Calibri" w:hAnsi="Arial" w:cs="Arial"/>
          <w:bCs/>
          <w:sz w:val="24"/>
          <w:szCs w:val="24"/>
          <w:lang w:eastAsia="en-US"/>
        </w:rPr>
        <w:t xml:space="preserve">consultas </w:t>
      </w:r>
      <w:r w:rsidR="00F76BA1">
        <w:rPr>
          <w:rFonts w:ascii="Arial" w:eastAsia="Calibri" w:hAnsi="Arial" w:cs="Arial"/>
          <w:bCs/>
          <w:sz w:val="24"/>
          <w:szCs w:val="24"/>
          <w:lang w:eastAsia="en-US"/>
        </w:rPr>
        <w:t xml:space="preserve">solicitando aclaraciones acerca </w:t>
      </w:r>
      <w:r w:rsidR="00A4323C">
        <w:rPr>
          <w:rFonts w:ascii="Arial" w:eastAsia="Calibri" w:hAnsi="Arial" w:cs="Arial"/>
          <w:bCs/>
          <w:sz w:val="24"/>
          <w:szCs w:val="24"/>
          <w:lang w:eastAsia="en-US"/>
        </w:rPr>
        <w:t xml:space="preserve">de la categoría de envase que </w:t>
      </w:r>
      <w:r w:rsidR="001A1CE7">
        <w:rPr>
          <w:rFonts w:ascii="Arial" w:eastAsia="Calibri" w:hAnsi="Arial" w:cs="Arial"/>
          <w:bCs/>
          <w:sz w:val="24"/>
          <w:szCs w:val="24"/>
          <w:lang w:eastAsia="en-US"/>
        </w:rPr>
        <w:t xml:space="preserve">los </w:t>
      </w:r>
      <w:r w:rsidR="00A4323C">
        <w:rPr>
          <w:rFonts w:ascii="Arial" w:eastAsia="Calibri" w:hAnsi="Arial" w:cs="Arial"/>
          <w:bCs/>
          <w:sz w:val="24"/>
          <w:szCs w:val="24"/>
          <w:lang w:eastAsia="en-US"/>
        </w:rPr>
        <w:t>productor</w:t>
      </w:r>
      <w:r w:rsidR="001A1CE7">
        <w:rPr>
          <w:rFonts w:ascii="Arial" w:eastAsia="Calibri" w:hAnsi="Arial" w:cs="Arial"/>
          <w:bCs/>
          <w:sz w:val="24"/>
          <w:szCs w:val="24"/>
          <w:lang w:eastAsia="en-US"/>
        </w:rPr>
        <w:t>es</w:t>
      </w:r>
      <w:r w:rsidR="00A4323C">
        <w:rPr>
          <w:rFonts w:ascii="Arial" w:eastAsia="Calibri" w:hAnsi="Arial" w:cs="Arial"/>
          <w:bCs/>
          <w:sz w:val="24"/>
          <w:szCs w:val="24"/>
          <w:lang w:eastAsia="en-US"/>
        </w:rPr>
        <w:t xml:space="preserve"> pone</w:t>
      </w:r>
      <w:r w:rsidR="006C01E7">
        <w:rPr>
          <w:rFonts w:ascii="Arial" w:eastAsia="Calibri" w:hAnsi="Arial" w:cs="Arial"/>
          <w:bCs/>
          <w:sz w:val="24"/>
          <w:szCs w:val="24"/>
          <w:lang w:eastAsia="en-US"/>
        </w:rPr>
        <w:t>n</w:t>
      </w:r>
      <w:r w:rsidR="00A4323C">
        <w:rPr>
          <w:rFonts w:ascii="Arial" w:eastAsia="Calibri" w:hAnsi="Arial" w:cs="Arial"/>
          <w:bCs/>
          <w:sz w:val="24"/>
          <w:szCs w:val="24"/>
          <w:lang w:eastAsia="en-US"/>
        </w:rPr>
        <w:t xml:space="preserve"> en el mercado y en consecuencia el régimen de RAP que aplica a cada envase</w:t>
      </w:r>
      <w:r w:rsidR="0024504A">
        <w:rPr>
          <w:rFonts w:ascii="Arial" w:eastAsia="Calibri" w:hAnsi="Arial" w:cs="Arial"/>
          <w:bCs/>
          <w:sz w:val="24"/>
          <w:szCs w:val="24"/>
          <w:lang w:eastAsia="en-US"/>
        </w:rPr>
        <w:t xml:space="preserve">, la </w:t>
      </w:r>
      <w:r w:rsidRPr="00972FE4">
        <w:rPr>
          <w:rFonts w:ascii="Arial" w:eastAsia="Calibri" w:hAnsi="Arial" w:cs="Arial"/>
          <w:bCs/>
          <w:sz w:val="24"/>
          <w:szCs w:val="24"/>
          <w:lang w:eastAsia="en-US"/>
        </w:rPr>
        <w:t xml:space="preserve">Subdirección General de Economía Circular (SGEC) </w:t>
      </w:r>
      <w:r w:rsidR="001A1CE7">
        <w:rPr>
          <w:rFonts w:ascii="Arial" w:eastAsia="Calibri" w:hAnsi="Arial" w:cs="Arial"/>
          <w:bCs/>
          <w:sz w:val="24"/>
          <w:szCs w:val="24"/>
          <w:lang w:eastAsia="en-US"/>
        </w:rPr>
        <w:t xml:space="preserve">ha </w:t>
      </w:r>
      <w:r w:rsidR="0024504A">
        <w:rPr>
          <w:rFonts w:ascii="Arial" w:eastAsia="Calibri" w:hAnsi="Arial" w:cs="Arial"/>
          <w:bCs/>
          <w:sz w:val="24"/>
          <w:szCs w:val="24"/>
          <w:lang w:eastAsia="en-US"/>
        </w:rPr>
        <w:t>proced</w:t>
      </w:r>
      <w:r w:rsidR="001A1CE7">
        <w:rPr>
          <w:rFonts w:ascii="Arial" w:eastAsia="Calibri" w:hAnsi="Arial" w:cs="Arial"/>
          <w:bCs/>
          <w:sz w:val="24"/>
          <w:szCs w:val="24"/>
          <w:lang w:eastAsia="en-US"/>
        </w:rPr>
        <w:t>ido</w:t>
      </w:r>
      <w:r w:rsidR="0024504A">
        <w:rPr>
          <w:rFonts w:ascii="Arial" w:eastAsia="Calibri" w:hAnsi="Arial" w:cs="Arial"/>
          <w:bCs/>
          <w:sz w:val="24"/>
          <w:szCs w:val="24"/>
          <w:lang w:eastAsia="en-US"/>
        </w:rPr>
        <w:t xml:space="preserve"> a elaborar la presente </w:t>
      </w:r>
      <w:r w:rsidRPr="00972FE4">
        <w:rPr>
          <w:rFonts w:ascii="Arial" w:eastAsia="Calibri" w:hAnsi="Arial" w:cs="Arial"/>
          <w:bCs/>
          <w:sz w:val="24"/>
          <w:szCs w:val="24"/>
          <w:lang w:eastAsia="en-US"/>
        </w:rPr>
        <w:t>nota interpretativa al respecto</w:t>
      </w:r>
      <w:r w:rsidR="00207DE0" w:rsidRPr="00375387">
        <w:rPr>
          <w:rFonts w:ascii="Arial" w:eastAsia="Calibri" w:hAnsi="Arial" w:cs="Arial"/>
          <w:bCs/>
          <w:sz w:val="24"/>
          <w:szCs w:val="24"/>
          <w:lang w:eastAsia="en-US"/>
        </w:rPr>
        <w:t>,</w:t>
      </w:r>
      <w:r w:rsidR="0024504A" w:rsidRPr="00375387">
        <w:rPr>
          <w:rFonts w:ascii="Arial" w:eastAsia="Calibri" w:hAnsi="Arial" w:cs="Arial"/>
          <w:bCs/>
          <w:sz w:val="24"/>
          <w:szCs w:val="24"/>
          <w:lang w:eastAsia="en-US"/>
        </w:rPr>
        <w:t xml:space="preserve"> inclu</w:t>
      </w:r>
      <w:r w:rsidR="007B5941" w:rsidRPr="00375387">
        <w:rPr>
          <w:rFonts w:ascii="Arial" w:eastAsia="Calibri" w:hAnsi="Arial" w:cs="Arial"/>
          <w:bCs/>
          <w:sz w:val="24"/>
          <w:szCs w:val="24"/>
          <w:lang w:eastAsia="en-US"/>
        </w:rPr>
        <w:t>yendo</w:t>
      </w:r>
      <w:r w:rsidR="0024504A" w:rsidRPr="00375387">
        <w:rPr>
          <w:rFonts w:ascii="Arial" w:eastAsia="Calibri" w:hAnsi="Arial" w:cs="Arial"/>
          <w:bCs/>
          <w:sz w:val="24"/>
          <w:szCs w:val="24"/>
          <w:lang w:eastAsia="en-US"/>
        </w:rPr>
        <w:t xml:space="preserve"> </w:t>
      </w:r>
      <w:r w:rsidR="00375387" w:rsidRPr="00375387">
        <w:rPr>
          <w:rFonts w:ascii="Arial" w:eastAsia="Calibri" w:hAnsi="Arial" w:cs="Arial"/>
          <w:bCs/>
          <w:sz w:val="24"/>
          <w:szCs w:val="24"/>
          <w:lang w:eastAsia="en-US"/>
        </w:rPr>
        <w:t>algunas</w:t>
      </w:r>
      <w:r w:rsidR="0024504A" w:rsidRPr="00375387">
        <w:rPr>
          <w:rFonts w:ascii="Arial" w:eastAsia="Calibri" w:hAnsi="Arial" w:cs="Arial"/>
          <w:bCs/>
          <w:sz w:val="24"/>
          <w:szCs w:val="24"/>
          <w:lang w:eastAsia="en-US"/>
        </w:rPr>
        <w:t xml:space="preserve"> casuísticas</w:t>
      </w:r>
      <w:r w:rsidR="00207DE0" w:rsidRPr="00375387">
        <w:rPr>
          <w:rFonts w:ascii="Arial" w:eastAsia="Calibri" w:hAnsi="Arial" w:cs="Arial"/>
          <w:bCs/>
          <w:sz w:val="24"/>
          <w:szCs w:val="24"/>
          <w:lang w:eastAsia="en-US"/>
        </w:rPr>
        <w:t xml:space="preserve"> </w:t>
      </w:r>
      <w:r w:rsidR="007B5941" w:rsidRPr="00375387">
        <w:rPr>
          <w:rFonts w:ascii="Arial" w:eastAsia="Calibri" w:hAnsi="Arial" w:cs="Arial"/>
          <w:bCs/>
          <w:sz w:val="24"/>
          <w:szCs w:val="24"/>
          <w:lang w:eastAsia="en-US"/>
        </w:rPr>
        <w:t xml:space="preserve">particulares </w:t>
      </w:r>
      <w:r w:rsidR="00207DE0" w:rsidRPr="00375387">
        <w:rPr>
          <w:rFonts w:ascii="Arial" w:eastAsia="Calibri" w:hAnsi="Arial" w:cs="Arial"/>
          <w:bCs/>
          <w:sz w:val="24"/>
          <w:szCs w:val="24"/>
          <w:lang w:eastAsia="en-US"/>
        </w:rPr>
        <w:t>de las que se ha tenido conocimiento</w:t>
      </w:r>
      <w:r w:rsidR="001A1CE7">
        <w:rPr>
          <w:rFonts w:ascii="Arial" w:eastAsia="Calibri" w:hAnsi="Arial" w:cs="Arial"/>
          <w:bCs/>
          <w:sz w:val="24"/>
          <w:szCs w:val="24"/>
          <w:lang w:eastAsia="en-US"/>
        </w:rPr>
        <w:t xml:space="preserve"> a modo de ejemplos</w:t>
      </w:r>
      <w:r w:rsidR="0024504A" w:rsidRPr="00375387">
        <w:rPr>
          <w:rFonts w:ascii="Arial" w:eastAsia="Calibri" w:hAnsi="Arial" w:cs="Arial"/>
          <w:bCs/>
          <w:sz w:val="24"/>
          <w:szCs w:val="24"/>
          <w:lang w:eastAsia="en-US"/>
        </w:rPr>
        <w:t>.</w:t>
      </w:r>
    </w:p>
    <w:p w14:paraId="7D57A0BE" w14:textId="77777777" w:rsidR="00972FE4" w:rsidRPr="00972FE4" w:rsidRDefault="00972FE4" w:rsidP="001F68BE">
      <w:pPr>
        <w:numPr>
          <w:ilvl w:val="0"/>
          <w:numId w:val="1"/>
        </w:numPr>
        <w:spacing w:after="240" w:line="259" w:lineRule="auto"/>
        <w:jc w:val="both"/>
        <w:rPr>
          <w:rFonts w:ascii="Arial" w:eastAsia="Calibri" w:hAnsi="Arial" w:cs="Arial"/>
          <w:b/>
          <w:bCs/>
          <w:sz w:val="24"/>
          <w:szCs w:val="24"/>
          <w:u w:val="single"/>
          <w:lang w:eastAsia="en-US"/>
        </w:rPr>
      </w:pPr>
      <w:r w:rsidRPr="00972FE4">
        <w:rPr>
          <w:rFonts w:ascii="Arial" w:eastAsia="Calibri" w:hAnsi="Arial" w:cs="Arial"/>
          <w:b/>
          <w:bCs/>
          <w:sz w:val="24"/>
          <w:szCs w:val="24"/>
          <w:u w:val="single"/>
          <w:lang w:eastAsia="en-US"/>
        </w:rPr>
        <w:t>Interpretación</w:t>
      </w:r>
    </w:p>
    <w:p w14:paraId="62382519" w14:textId="668E7D75" w:rsidR="00554819" w:rsidRDefault="0024504A" w:rsidP="00024CC7">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A la hora de determinar </w:t>
      </w:r>
      <w:r w:rsidR="00554819">
        <w:rPr>
          <w:rFonts w:ascii="Arial" w:eastAsia="Calibri" w:hAnsi="Arial" w:cs="Arial"/>
          <w:bCs/>
          <w:sz w:val="24"/>
          <w:szCs w:val="24"/>
          <w:lang w:eastAsia="en-US"/>
        </w:rPr>
        <w:t xml:space="preserve">la categoría de envase que un productor pone en el mercado, debemos tener en consideración en primer lugar el </w:t>
      </w:r>
      <w:r w:rsidR="00554819" w:rsidRPr="003A6B5B">
        <w:rPr>
          <w:rFonts w:ascii="Arial" w:eastAsia="Calibri" w:hAnsi="Arial" w:cs="Arial"/>
          <w:b/>
          <w:sz w:val="24"/>
          <w:szCs w:val="24"/>
          <w:lang w:eastAsia="en-US"/>
        </w:rPr>
        <w:t>carácter excluyente</w:t>
      </w:r>
      <w:r w:rsidR="00554819">
        <w:rPr>
          <w:rFonts w:ascii="Arial" w:eastAsia="Calibri" w:hAnsi="Arial" w:cs="Arial"/>
          <w:bCs/>
          <w:sz w:val="24"/>
          <w:szCs w:val="24"/>
          <w:lang w:eastAsia="en-US"/>
        </w:rPr>
        <w:t xml:space="preserve"> que </w:t>
      </w:r>
      <w:r w:rsidR="003A6B5B">
        <w:rPr>
          <w:rFonts w:ascii="Arial" w:eastAsia="Calibri" w:hAnsi="Arial" w:cs="Arial"/>
          <w:bCs/>
          <w:sz w:val="24"/>
          <w:szCs w:val="24"/>
          <w:lang w:eastAsia="en-US"/>
        </w:rPr>
        <w:t xml:space="preserve">emana de las propias </w:t>
      </w:r>
      <w:r w:rsidR="00554819">
        <w:rPr>
          <w:rFonts w:ascii="Arial" w:eastAsia="Calibri" w:hAnsi="Arial" w:cs="Arial"/>
          <w:bCs/>
          <w:sz w:val="24"/>
          <w:szCs w:val="24"/>
          <w:lang w:eastAsia="en-US"/>
        </w:rPr>
        <w:t>definiciones.</w:t>
      </w:r>
    </w:p>
    <w:p w14:paraId="4F7C7E73" w14:textId="45EEDF46" w:rsidR="00554819" w:rsidRDefault="00554819" w:rsidP="00024CC7">
      <w:pPr>
        <w:spacing w:after="240" w:line="259" w:lineRule="auto"/>
        <w:jc w:val="both"/>
        <w:rPr>
          <w:rFonts w:ascii="Arial" w:eastAsia="Calibri" w:hAnsi="Arial" w:cs="Arial"/>
          <w:bCs/>
          <w:sz w:val="24"/>
          <w:szCs w:val="24"/>
          <w:lang w:eastAsia="en-US"/>
        </w:rPr>
      </w:pPr>
      <w:r w:rsidRPr="00554819">
        <w:rPr>
          <w:rFonts w:ascii="Arial" w:eastAsia="Calibri" w:hAnsi="Arial" w:cs="Arial"/>
          <w:bCs/>
          <w:sz w:val="24"/>
          <w:szCs w:val="24"/>
          <w:lang w:eastAsia="en-US"/>
        </w:rPr>
        <w:t>Así si un envase</w:t>
      </w:r>
      <w:r>
        <w:rPr>
          <w:rFonts w:ascii="Arial" w:eastAsia="Calibri" w:hAnsi="Arial" w:cs="Arial"/>
          <w:bCs/>
          <w:sz w:val="24"/>
          <w:szCs w:val="24"/>
          <w:lang w:eastAsia="en-US"/>
        </w:rPr>
        <w:t xml:space="preserve"> </w:t>
      </w:r>
      <w:r w:rsidR="003A6B5B">
        <w:rPr>
          <w:rFonts w:ascii="Arial" w:eastAsia="Calibri" w:hAnsi="Arial" w:cs="Arial"/>
          <w:bCs/>
          <w:sz w:val="24"/>
          <w:szCs w:val="24"/>
          <w:lang w:eastAsia="en-US"/>
        </w:rPr>
        <w:t xml:space="preserve">tiene la consideración de envase doméstico, automáticamente queda excluida la posibilidad de ser considerado </w:t>
      </w:r>
      <w:r w:rsidR="00375387">
        <w:rPr>
          <w:rFonts w:ascii="Arial" w:eastAsia="Calibri" w:hAnsi="Arial" w:cs="Arial"/>
          <w:bCs/>
          <w:sz w:val="24"/>
          <w:szCs w:val="24"/>
          <w:lang w:eastAsia="en-US"/>
        </w:rPr>
        <w:t xml:space="preserve">a su vez </w:t>
      </w:r>
      <w:r w:rsidR="003A6B5B">
        <w:rPr>
          <w:rFonts w:ascii="Arial" w:eastAsia="Calibri" w:hAnsi="Arial" w:cs="Arial"/>
          <w:bCs/>
          <w:sz w:val="24"/>
          <w:szCs w:val="24"/>
          <w:lang w:eastAsia="en-US"/>
        </w:rPr>
        <w:t xml:space="preserve">como envase comercial o industrial, aunque se pueda adquirir este envase (producto envasado) también a través de estos </w:t>
      </w:r>
      <w:r w:rsidR="00837DC6">
        <w:rPr>
          <w:rFonts w:ascii="Arial" w:eastAsia="Calibri" w:hAnsi="Arial" w:cs="Arial"/>
          <w:bCs/>
          <w:sz w:val="24"/>
          <w:szCs w:val="24"/>
          <w:lang w:eastAsia="en-US"/>
        </w:rPr>
        <w:t xml:space="preserve">otros </w:t>
      </w:r>
      <w:r w:rsidR="003A6B5B">
        <w:rPr>
          <w:rFonts w:ascii="Arial" w:eastAsia="Calibri" w:hAnsi="Arial" w:cs="Arial"/>
          <w:bCs/>
          <w:sz w:val="24"/>
          <w:szCs w:val="24"/>
          <w:lang w:eastAsia="en-US"/>
        </w:rPr>
        <w:t xml:space="preserve">canales. De igual forma, si un envase se considera envase comercial, automáticamente queda excluida la posibilidad de ser considerado como </w:t>
      </w:r>
      <w:r w:rsidR="00837DC6">
        <w:rPr>
          <w:rFonts w:ascii="Arial" w:eastAsia="Calibri" w:hAnsi="Arial" w:cs="Arial"/>
          <w:bCs/>
          <w:sz w:val="24"/>
          <w:szCs w:val="24"/>
          <w:lang w:eastAsia="en-US"/>
        </w:rPr>
        <w:t xml:space="preserve">envase </w:t>
      </w:r>
      <w:r w:rsidR="003A6B5B">
        <w:rPr>
          <w:rFonts w:ascii="Arial" w:eastAsia="Calibri" w:hAnsi="Arial" w:cs="Arial"/>
          <w:bCs/>
          <w:sz w:val="24"/>
          <w:szCs w:val="24"/>
          <w:lang w:eastAsia="en-US"/>
        </w:rPr>
        <w:t>industrial.</w:t>
      </w:r>
    </w:p>
    <w:p w14:paraId="0465E4B6" w14:textId="5E224E66" w:rsidR="003A6B5B" w:rsidRDefault="003A6B5B" w:rsidP="00554819">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 xml:space="preserve">Por ello, para determinar la categoría de envase, se debe tener en cuenta </w:t>
      </w:r>
      <w:r w:rsidR="00554819">
        <w:rPr>
          <w:rFonts w:ascii="Arial" w:eastAsia="Calibri" w:hAnsi="Arial" w:cs="Arial"/>
          <w:bCs/>
          <w:sz w:val="24"/>
          <w:szCs w:val="24"/>
          <w:lang w:eastAsia="en-US"/>
        </w:rPr>
        <w:t xml:space="preserve">como </w:t>
      </w:r>
      <w:r w:rsidR="00554819" w:rsidRPr="003A6B5B">
        <w:rPr>
          <w:rFonts w:ascii="Arial" w:eastAsia="Calibri" w:hAnsi="Arial" w:cs="Arial"/>
          <w:b/>
          <w:sz w:val="24"/>
          <w:szCs w:val="24"/>
          <w:lang w:eastAsia="en-US"/>
        </w:rPr>
        <w:t>criterio inicial</w:t>
      </w:r>
      <w:r w:rsidR="00554819" w:rsidRPr="00FF0FB5">
        <w:rPr>
          <w:rFonts w:ascii="Arial" w:eastAsia="Calibri" w:hAnsi="Arial" w:cs="Arial"/>
          <w:bCs/>
          <w:sz w:val="24"/>
          <w:szCs w:val="24"/>
          <w:lang w:eastAsia="en-US"/>
        </w:rPr>
        <w:t xml:space="preserve"> </w:t>
      </w:r>
      <w:r w:rsidR="00554819" w:rsidRPr="003A6B5B">
        <w:rPr>
          <w:rFonts w:ascii="Arial" w:eastAsia="Calibri" w:hAnsi="Arial" w:cs="Arial"/>
          <w:bCs/>
          <w:sz w:val="24"/>
          <w:szCs w:val="24"/>
          <w:u w:val="single"/>
          <w:lang w:eastAsia="en-US"/>
        </w:rPr>
        <w:t>la susceptibilidad de que este envase</w:t>
      </w:r>
      <w:r w:rsidR="00837DC6">
        <w:rPr>
          <w:rFonts w:ascii="Arial" w:eastAsia="Calibri" w:hAnsi="Arial" w:cs="Arial"/>
          <w:bCs/>
          <w:sz w:val="24"/>
          <w:szCs w:val="24"/>
          <w:u w:val="single"/>
          <w:lang w:eastAsia="en-US"/>
        </w:rPr>
        <w:t xml:space="preserve"> (producto envasado)</w:t>
      </w:r>
      <w:r w:rsidR="00554819" w:rsidRPr="003A6B5B">
        <w:rPr>
          <w:rFonts w:ascii="Arial" w:eastAsia="Calibri" w:hAnsi="Arial" w:cs="Arial"/>
          <w:bCs/>
          <w:sz w:val="24"/>
          <w:szCs w:val="24"/>
          <w:u w:val="single"/>
          <w:lang w:eastAsia="en-US"/>
        </w:rPr>
        <w:t xml:space="preserve"> sea adquirido por el consumidor en los comercios, con independencia del lugar de venta o consumo</w:t>
      </w:r>
      <w:r w:rsidR="00016909">
        <w:rPr>
          <w:rFonts w:ascii="Arial" w:eastAsia="Calibri" w:hAnsi="Arial" w:cs="Arial"/>
          <w:bCs/>
          <w:sz w:val="24"/>
          <w:szCs w:val="24"/>
          <w:lang w:eastAsia="en-US"/>
        </w:rPr>
        <w:t>, en cuyo caso tendría la consideración de envase doméstico.</w:t>
      </w:r>
    </w:p>
    <w:p w14:paraId="5FADFF2A" w14:textId="7FEC056A" w:rsidR="00016909" w:rsidRPr="00016909" w:rsidRDefault="00016909" w:rsidP="00554819">
      <w:pPr>
        <w:spacing w:after="240" w:line="259" w:lineRule="auto"/>
        <w:jc w:val="both"/>
        <w:rPr>
          <w:rFonts w:ascii="Arial" w:eastAsia="Calibri" w:hAnsi="Arial" w:cs="Arial"/>
          <w:b/>
          <w:i/>
          <w:iCs/>
          <w:sz w:val="24"/>
          <w:szCs w:val="24"/>
          <w:lang w:eastAsia="en-US"/>
        </w:rPr>
      </w:pPr>
      <w:r w:rsidRPr="00016909">
        <w:rPr>
          <w:rFonts w:ascii="Arial" w:eastAsia="Calibri" w:hAnsi="Arial" w:cs="Arial"/>
          <w:b/>
          <w:i/>
          <w:iCs/>
          <w:sz w:val="24"/>
          <w:szCs w:val="24"/>
          <w:lang w:eastAsia="en-US"/>
        </w:rPr>
        <w:t>2.1 Envase doméstico vs envase comercial</w:t>
      </w:r>
    </w:p>
    <w:p w14:paraId="17768B89" w14:textId="34E7958C" w:rsidR="00301790" w:rsidRDefault="00E04ECF" w:rsidP="00554819">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Tendrán la consideración de envase comercial, aquellos que, </w:t>
      </w:r>
      <w:r w:rsidRPr="00E04ECF">
        <w:rPr>
          <w:rFonts w:ascii="Arial" w:eastAsia="Calibri" w:hAnsi="Arial" w:cs="Arial"/>
          <w:bCs/>
          <w:sz w:val="24"/>
          <w:szCs w:val="24"/>
          <w:lang w:eastAsia="en-US"/>
        </w:rPr>
        <w:t>sin tener la consideración de doméstico, est</w:t>
      </w:r>
      <w:r>
        <w:rPr>
          <w:rFonts w:ascii="Arial" w:eastAsia="Calibri" w:hAnsi="Arial" w:cs="Arial"/>
          <w:bCs/>
          <w:sz w:val="24"/>
          <w:szCs w:val="24"/>
          <w:lang w:eastAsia="en-US"/>
        </w:rPr>
        <w:t>én</w:t>
      </w:r>
      <w:r w:rsidRPr="00E04ECF">
        <w:rPr>
          <w:rFonts w:ascii="Arial" w:eastAsia="Calibri" w:hAnsi="Arial" w:cs="Arial"/>
          <w:bCs/>
          <w:sz w:val="24"/>
          <w:szCs w:val="24"/>
          <w:lang w:eastAsia="en-US"/>
        </w:rPr>
        <w:t xml:space="preserve"> destinado al uso y consumo propio del ejercicio de la actividad comercial</w:t>
      </w:r>
      <w:r>
        <w:rPr>
          <w:rFonts w:ascii="Arial" w:eastAsia="Calibri" w:hAnsi="Arial" w:cs="Arial"/>
          <w:bCs/>
          <w:sz w:val="24"/>
          <w:szCs w:val="24"/>
          <w:lang w:eastAsia="en-US"/>
        </w:rPr>
        <w:t>.</w:t>
      </w:r>
    </w:p>
    <w:p w14:paraId="6C6AE5DF" w14:textId="0A6D94EE" w:rsidR="00E04ECF" w:rsidRDefault="00375387" w:rsidP="00375387">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A tal fin, el </w:t>
      </w:r>
      <w:hyperlink r:id="rId8" w:history="1">
        <w:r w:rsidRPr="00375387">
          <w:rPr>
            <w:rStyle w:val="Hipervnculo"/>
            <w:rFonts w:ascii="Arial" w:eastAsia="Calibri" w:hAnsi="Arial" w:cs="Arial"/>
            <w:bCs/>
            <w:sz w:val="24"/>
            <w:szCs w:val="24"/>
            <w:lang w:eastAsia="en-US"/>
          </w:rPr>
          <w:t>Reglamento (CE) n° 2150/2002 del Parlamento Europeo y del Consejo, de 25 de noviembre de 2002, relativo a las estadísticas sobre residuos</w:t>
        </w:r>
      </w:hyperlink>
      <w:r>
        <w:rPr>
          <w:rFonts w:ascii="Arial" w:eastAsia="Calibri" w:hAnsi="Arial" w:cs="Arial"/>
          <w:bCs/>
          <w:sz w:val="24"/>
          <w:szCs w:val="24"/>
          <w:lang w:eastAsia="en-US"/>
        </w:rPr>
        <w:t>, recoge en su Anexo 1 que la generación de residuos del sector servicios incluye las actividades económicas c</w:t>
      </w:r>
      <w:r w:rsidRPr="00375387">
        <w:rPr>
          <w:rFonts w:ascii="Arial" w:eastAsia="Calibri" w:hAnsi="Arial" w:cs="Arial"/>
          <w:bCs/>
          <w:sz w:val="24"/>
          <w:szCs w:val="24"/>
          <w:lang w:eastAsia="en-US"/>
        </w:rPr>
        <w:t>lasificadas en las</w:t>
      </w:r>
      <w:r w:rsidR="00F57F6F">
        <w:rPr>
          <w:rFonts w:ascii="Arial" w:eastAsia="Calibri" w:hAnsi="Arial" w:cs="Arial"/>
          <w:bCs/>
          <w:sz w:val="24"/>
          <w:szCs w:val="24"/>
          <w:lang w:eastAsia="en-US"/>
        </w:rPr>
        <w:t xml:space="preserve"> </w:t>
      </w:r>
      <w:r w:rsidRPr="00375387">
        <w:rPr>
          <w:rFonts w:ascii="Arial" w:eastAsia="Calibri" w:hAnsi="Arial" w:cs="Arial"/>
          <w:bCs/>
          <w:sz w:val="24"/>
          <w:szCs w:val="24"/>
          <w:lang w:eastAsia="en-US"/>
        </w:rPr>
        <w:t xml:space="preserve">secciones </w:t>
      </w:r>
      <w:r w:rsidR="00F57F6F">
        <w:rPr>
          <w:rFonts w:ascii="Arial" w:eastAsia="Calibri" w:hAnsi="Arial" w:cs="Arial"/>
          <w:bCs/>
          <w:sz w:val="24"/>
          <w:szCs w:val="24"/>
          <w:lang w:eastAsia="en-US"/>
        </w:rPr>
        <w:t>G</w:t>
      </w:r>
      <w:r w:rsidRPr="00375387">
        <w:rPr>
          <w:rFonts w:ascii="Arial" w:eastAsia="Calibri" w:hAnsi="Arial" w:cs="Arial"/>
          <w:bCs/>
          <w:sz w:val="24"/>
          <w:szCs w:val="24"/>
          <w:lang w:eastAsia="en-US"/>
        </w:rPr>
        <w:t xml:space="preserve"> a U de la </w:t>
      </w:r>
      <w:hyperlink r:id="rId9" w:history="1">
        <w:r w:rsidRPr="00F57F6F">
          <w:rPr>
            <w:rStyle w:val="Hipervnculo"/>
            <w:rFonts w:ascii="Arial" w:eastAsia="Calibri" w:hAnsi="Arial" w:cs="Arial"/>
            <w:bCs/>
            <w:sz w:val="24"/>
            <w:szCs w:val="24"/>
            <w:lang w:eastAsia="en-US"/>
          </w:rPr>
          <w:t>NACE rev. 2</w:t>
        </w:r>
      </w:hyperlink>
      <w:r w:rsidR="00F57F6F">
        <w:rPr>
          <w:rFonts w:ascii="Arial" w:eastAsia="Calibri" w:hAnsi="Arial" w:cs="Arial"/>
          <w:bCs/>
          <w:sz w:val="24"/>
          <w:szCs w:val="24"/>
          <w:lang w:eastAsia="en-US"/>
        </w:rPr>
        <w:t>:</w:t>
      </w:r>
      <w:r w:rsidR="00CD444F">
        <w:rPr>
          <w:rFonts w:ascii="Arial" w:eastAsia="Calibri" w:hAnsi="Arial" w:cs="Arial"/>
          <w:bCs/>
          <w:sz w:val="24"/>
          <w:szCs w:val="24"/>
          <w:lang w:eastAsia="en-US"/>
        </w:rPr>
        <w:t xml:space="preserve"> (véase también </w:t>
      </w:r>
      <w:hyperlink r:id="rId10" w:history="1">
        <w:r w:rsidR="00CD444F" w:rsidRPr="00CD444F">
          <w:rPr>
            <w:rStyle w:val="Hipervnculo"/>
            <w:rFonts w:ascii="Arial" w:eastAsia="Calibri" w:hAnsi="Arial" w:cs="Arial"/>
            <w:bCs/>
            <w:sz w:val="24"/>
            <w:szCs w:val="24"/>
            <w:lang w:eastAsia="en-US"/>
          </w:rPr>
          <w:t>Estructura y notas explicativas</w:t>
        </w:r>
      </w:hyperlink>
      <w:r w:rsidR="00CD444F">
        <w:rPr>
          <w:rFonts w:ascii="Arial" w:eastAsia="Calibri" w:hAnsi="Arial" w:cs="Arial"/>
          <w:bCs/>
          <w:sz w:val="24"/>
          <w:szCs w:val="24"/>
          <w:lang w:eastAsia="en-US"/>
        </w:rPr>
        <w:t>):</w:t>
      </w:r>
    </w:p>
    <w:p w14:paraId="4535F118" w14:textId="024423C1"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Sección G, excepto clase 46.77: Comercio al por mayor y al por menor; reparación de vehículos de motor y motocicletas</w:t>
      </w:r>
    </w:p>
    <w:p w14:paraId="416EF3F2" w14:textId="2AEC7861"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H Transporte y almacenamiento </w:t>
      </w:r>
    </w:p>
    <w:p w14:paraId="589156AA" w14:textId="56C59CB3"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I Hostelería </w:t>
      </w:r>
    </w:p>
    <w:p w14:paraId="5AB6AA19" w14:textId="4DC40278"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J Información y comunicaciones </w:t>
      </w:r>
    </w:p>
    <w:p w14:paraId="2CA861F7" w14:textId="1D342291"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K Actividades financieras y de seguros </w:t>
      </w:r>
    </w:p>
    <w:p w14:paraId="52C31540" w14:textId="497CBC25"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L Actividades inmobiliarias </w:t>
      </w:r>
    </w:p>
    <w:p w14:paraId="21130DE5" w14:textId="149CFC8C"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M Actividades profesionales, científicas y técnicas </w:t>
      </w:r>
      <w:r w:rsidR="007930C8">
        <w:rPr>
          <w:rFonts w:ascii="Arial" w:hAnsi="Arial" w:cs="Arial"/>
          <w:bCs/>
          <w:sz w:val="24"/>
          <w:szCs w:val="24"/>
        </w:rPr>
        <w:t>(actividades jurídicas, de contabilidad, consultoría, servicios técnicos de arquitectura e ingeniería, publicidad y estudios de mercado, etc.)</w:t>
      </w:r>
    </w:p>
    <w:p w14:paraId="7308D544" w14:textId="79547DB4"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N Actividades administrativas y servicios auxiliares </w:t>
      </w:r>
    </w:p>
    <w:p w14:paraId="34EA920E" w14:textId="438C271E"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O Administración Pública y Defensa; Seguridad Social obligatoria </w:t>
      </w:r>
    </w:p>
    <w:p w14:paraId="25F202C5" w14:textId="388C2D24"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P Educación </w:t>
      </w:r>
    </w:p>
    <w:p w14:paraId="506117AE" w14:textId="37F8CB54"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Q Actividades sanitarias y de servicios sociales </w:t>
      </w:r>
    </w:p>
    <w:p w14:paraId="37D65F6E" w14:textId="01C45ABC"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R Actividades artísticas, recreativas y de entretenimiento </w:t>
      </w:r>
    </w:p>
    <w:p w14:paraId="3617C40C" w14:textId="069B5739"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S Otros servicios </w:t>
      </w:r>
      <w:bookmarkStart w:id="0" w:name="_GoBack"/>
      <w:bookmarkEnd w:id="0"/>
    </w:p>
    <w:p w14:paraId="48C8C5F8" w14:textId="69878C98"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 xml:space="preserve">Sección T Actividades de los hogares como empleadores de personal doméstico; actividades de los hogares como productores de bienes y servicios para uso propio </w:t>
      </w:r>
    </w:p>
    <w:p w14:paraId="6448B1EB" w14:textId="5155BE64" w:rsidR="00F57F6F" w:rsidRPr="00F57F6F" w:rsidRDefault="00F57F6F" w:rsidP="00F57F6F">
      <w:pPr>
        <w:pStyle w:val="Prrafodelista"/>
        <w:numPr>
          <w:ilvl w:val="0"/>
          <w:numId w:val="16"/>
        </w:numPr>
        <w:spacing w:after="240" w:line="259" w:lineRule="auto"/>
        <w:ind w:left="567"/>
        <w:jc w:val="both"/>
        <w:rPr>
          <w:rFonts w:ascii="Arial" w:hAnsi="Arial" w:cs="Arial"/>
          <w:bCs/>
          <w:sz w:val="24"/>
          <w:szCs w:val="24"/>
        </w:rPr>
      </w:pPr>
      <w:r w:rsidRPr="00F57F6F">
        <w:rPr>
          <w:rFonts w:ascii="Arial" w:hAnsi="Arial" w:cs="Arial"/>
          <w:bCs/>
          <w:sz w:val="24"/>
          <w:szCs w:val="24"/>
        </w:rPr>
        <w:t>Sección U Organismos extraterritoriales</w:t>
      </w:r>
    </w:p>
    <w:p w14:paraId="127AA049" w14:textId="519C5012" w:rsidR="00F57F6F" w:rsidRDefault="00F57F6F" w:rsidP="00554819">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Por ello</w:t>
      </w:r>
      <w:r w:rsidRPr="00E53630">
        <w:rPr>
          <w:rFonts w:ascii="Arial" w:eastAsia="Calibri" w:hAnsi="Arial" w:cs="Arial"/>
          <w:bCs/>
          <w:sz w:val="24"/>
          <w:szCs w:val="24"/>
          <w:lang w:eastAsia="en-US"/>
        </w:rPr>
        <w:t xml:space="preserve">, </w:t>
      </w:r>
      <w:r w:rsidRPr="00E53630">
        <w:rPr>
          <w:rFonts w:ascii="Arial" w:eastAsia="Calibri" w:hAnsi="Arial" w:cs="Arial"/>
          <w:bCs/>
          <w:sz w:val="24"/>
          <w:szCs w:val="24"/>
          <w:u w:val="single"/>
          <w:lang w:eastAsia="en-US"/>
        </w:rPr>
        <w:t xml:space="preserve">tendrán la consideración de </w:t>
      </w:r>
      <w:r w:rsidRPr="00AE4C71">
        <w:rPr>
          <w:rFonts w:ascii="Arial" w:eastAsia="Calibri" w:hAnsi="Arial" w:cs="Arial"/>
          <w:b/>
          <w:sz w:val="24"/>
          <w:szCs w:val="24"/>
          <w:u w:val="single"/>
          <w:lang w:eastAsia="en-US"/>
        </w:rPr>
        <w:t>envase comercial</w:t>
      </w:r>
      <w:r w:rsidRPr="00E53630">
        <w:rPr>
          <w:rFonts w:ascii="Arial" w:eastAsia="Calibri" w:hAnsi="Arial" w:cs="Arial"/>
          <w:bCs/>
          <w:sz w:val="24"/>
          <w:szCs w:val="24"/>
          <w:u w:val="single"/>
          <w:lang w:eastAsia="en-US"/>
        </w:rPr>
        <w:t xml:space="preserve">, aquellos </w:t>
      </w:r>
      <w:r w:rsidR="001A1CE7">
        <w:rPr>
          <w:rFonts w:ascii="Arial" w:eastAsia="Calibri" w:hAnsi="Arial" w:cs="Arial"/>
          <w:bCs/>
          <w:sz w:val="24"/>
          <w:szCs w:val="24"/>
          <w:u w:val="single"/>
          <w:lang w:eastAsia="en-US"/>
        </w:rPr>
        <w:t xml:space="preserve">envases </w:t>
      </w:r>
      <w:r w:rsidRPr="00E53630">
        <w:rPr>
          <w:rFonts w:ascii="Arial" w:eastAsia="Calibri" w:hAnsi="Arial" w:cs="Arial"/>
          <w:bCs/>
          <w:sz w:val="24"/>
          <w:szCs w:val="24"/>
          <w:u w:val="single"/>
          <w:lang w:eastAsia="en-US"/>
        </w:rPr>
        <w:t xml:space="preserve">que sin </w:t>
      </w:r>
      <w:r w:rsidR="00E53630" w:rsidRPr="00E53630">
        <w:rPr>
          <w:rFonts w:ascii="Arial" w:eastAsia="Calibri" w:hAnsi="Arial" w:cs="Arial"/>
          <w:bCs/>
          <w:sz w:val="24"/>
          <w:szCs w:val="24"/>
          <w:u w:val="single"/>
          <w:lang w:eastAsia="en-US"/>
        </w:rPr>
        <w:t>ser</w:t>
      </w:r>
      <w:r w:rsidRPr="00E53630">
        <w:rPr>
          <w:rFonts w:ascii="Arial" w:eastAsia="Calibri" w:hAnsi="Arial" w:cs="Arial"/>
          <w:bCs/>
          <w:sz w:val="24"/>
          <w:szCs w:val="24"/>
          <w:u w:val="single"/>
          <w:lang w:eastAsia="en-US"/>
        </w:rPr>
        <w:t xml:space="preserve"> domésticos (aun habiéndose comercializado en el canal comercial), estén destinados al uso y consumo propio de las actividades </w:t>
      </w:r>
      <w:r w:rsidR="00E53630" w:rsidRPr="00E53630">
        <w:rPr>
          <w:rFonts w:ascii="Arial" w:eastAsia="Calibri" w:hAnsi="Arial" w:cs="Arial"/>
          <w:bCs/>
          <w:sz w:val="24"/>
          <w:szCs w:val="24"/>
          <w:u w:val="single"/>
          <w:lang w:eastAsia="en-US"/>
        </w:rPr>
        <w:t xml:space="preserve">económicas </w:t>
      </w:r>
      <w:r w:rsidRPr="00E53630">
        <w:rPr>
          <w:rFonts w:ascii="Arial" w:eastAsia="Calibri" w:hAnsi="Arial" w:cs="Arial"/>
          <w:bCs/>
          <w:sz w:val="24"/>
          <w:szCs w:val="24"/>
          <w:u w:val="single"/>
          <w:lang w:eastAsia="en-US"/>
        </w:rPr>
        <w:t>anteriormente señaladas</w:t>
      </w:r>
      <w:r>
        <w:rPr>
          <w:rFonts w:ascii="Arial" w:eastAsia="Calibri" w:hAnsi="Arial" w:cs="Arial"/>
          <w:bCs/>
          <w:sz w:val="24"/>
          <w:szCs w:val="24"/>
          <w:lang w:eastAsia="en-US"/>
        </w:rPr>
        <w:t>.</w:t>
      </w:r>
    </w:p>
    <w:p w14:paraId="63D511C5" w14:textId="0E75991C" w:rsidR="00016909" w:rsidRDefault="00E53630" w:rsidP="00554819">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No obstante lo anterior</w:t>
      </w:r>
      <w:r w:rsidR="00016909">
        <w:rPr>
          <w:rFonts w:ascii="Arial" w:eastAsia="Calibri" w:hAnsi="Arial" w:cs="Arial"/>
          <w:bCs/>
          <w:sz w:val="24"/>
          <w:szCs w:val="24"/>
          <w:lang w:eastAsia="en-US"/>
        </w:rPr>
        <w:t xml:space="preserve">, </w:t>
      </w:r>
      <w:r w:rsidR="00016909" w:rsidRPr="00016909">
        <w:rPr>
          <w:rFonts w:ascii="Arial" w:eastAsia="Calibri" w:hAnsi="Arial" w:cs="Arial"/>
          <w:bCs/>
          <w:sz w:val="24"/>
          <w:szCs w:val="24"/>
          <w:lang w:eastAsia="en-US"/>
        </w:rPr>
        <w:t>a fin de clarificar aquellos casos en los que la diferenciación entre envase doméstico y envase comercial pudiera ser compleja</w:t>
      </w:r>
      <w:r w:rsidR="00016909">
        <w:rPr>
          <w:rFonts w:ascii="Arial" w:eastAsia="Calibri" w:hAnsi="Arial" w:cs="Arial"/>
          <w:bCs/>
          <w:sz w:val="24"/>
          <w:szCs w:val="24"/>
          <w:lang w:eastAsia="en-US"/>
        </w:rPr>
        <w:t xml:space="preserve">, especialmente en aquellos </w:t>
      </w:r>
      <w:r w:rsidR="00016909">
        <w:rPr>
          <w:rFonts w:ascii="Arial" w:eastAsia="Calibri" w:hAnsi="Arial" w:cs="Arial"/>
          <w:bCs/>
          <w:sz w:val="24"/>
          <w:szCs w:val="24"/>
          <w:lang w:eastAsia="en-US"/>
        </w:rPr>
        <w:lastRenderedPageBreak/>
        <w:t xml:space="preserve">envases utilizados para comercializar productos en el </w:t>
      </w:r>
      <w:r w:rsidR="00016909" w:rsidRPr="00016909">
        <w:rPr>
          <w:rFonts w:ascii="Arial" w:eastAsia="Calibri" w:hAnsi="Arial" w:cs="Arial"/>
          <w:b/>
          <w:sz w:val="24"/>
          <w:szCs w:val="24"/>
          <w:lang w:eastAsia="en-US"/>
        </w:rPr>
        <w:t>canal HORECA</w:t>
      </w:r>
      <w:r w:rsidR="00F57F6F">
        <w:rPr>
          <w:rFonts w:ascii="Arial" w:eastAsia="Calibri" w:hAnsi="Arial" w:cs="Arial"/>
          <w:bCs/>
          <w:sz w:val="24"/>
          <w:szCs w:val="24"/>
          <w:lang w:eastAsia="en-US"/>
        </w:rPr>
        <w:t>, que es un canal comercial según NACE re</w:t>
      </w:r>
      <w:r w:rsidR="0056514C">
        <w:rPr>
          <w:rFonts w:ascii="Arial" w:eastAsia="Calibri" w:hAnsi="Arial" w:cs="Arial"/>
          <w:bCs/>
          <w:sz w:val="24"/>
          <w:szCs w:val="24"/>
          <w:lang w:eastAsia="en-US"/>
        </w:rPr>
        <w:t>v</w:t>
      </w:r>
      <w:r w:rsidR="00F57F6F">
        <w:rPr>
          <w:rFonts w:ascii="Arial" w:eastAsia="Calibri" w:hAnsi="Arial" w:cs="Arial"/>
          <w:bCs/>
          <w:sz w:val="24"/>
          <w:szCs w:val="24"/>
          <w:lang w:eastAsia="en-US"/>
        </w:rPr>
        <w:t>.</w:t>
      </w:r>
      <w:r w:rsidR="0056514C">
        <w:rPr>
          <w:rFonts w:ascii="Arial" w:eastAsia="Calibri" w:hAnsi="Arial" w:cs="Arial"/>
          <w:bCs/>
          <w:sz w:val="24"/>
          <w:szCs w:val="24"/>
          <w:lang w:eastAsia="en-US"/>
        </w:rPr>
        <w:t xml:space="preserve"> </w:t>
      </w:r>
      <w:r w:rsidR="00F57F6F">
        <w:rPr>
          <w:rFonts w:ascii="Arial" w:eastAsia="Calibri" w:hAnsi="Arial" w:cs="Arial"/>
          <w:bCs/>
          <w:sz w:val="24"/>
          <w:szCs w:val="24"/>
          <w:lang w:eastAsia="en-US"/>
        </w:rPr>
        <w:t>2</w:t>
      </w:r>
      <w:r w:rsidR="00016909">
        <w:rPr>
          <w:rFonts w:ascii="Arial" w:eastAsia="Calibri" w:hAnsi="Arial" w:cs="Arial"/>
          <w:bCs/>
          <w:sz w:val="24"/>
          <w:szCs w:val="24"/>
          <w:lang w:eastAsia="en-US"/>
        </w:rPr>
        <w:t>, esta SG</w:t>
      </w:r>
      <w:r w:rsidR="005C1152">
        <w:rPr>
          <w:rFonts w:ascii="Arial" w:eastAsia="Calibri" w:hAnsi="Arial" w:cs="Arial"/>
          <w:bCs/>
          <w:sz w:val="24"/>
          <w:szCs w:val="24"/>
          <w:lang w:eastAsia="en-US"/>
        </w:rPr>
        <w:t>EC</w:t>
      </w:r>
      <w:r w:rsidR="00016909">
        <w:rPr>
          <w:rFonts w:ascii="Arial" w:eastAsia="Calibri" w:hAnsi="Arial" w:cs="Arial"/>
          <w:bCs/>
          <w:sz w:val="24"/>
          <w:szCs w:val="24"/>
          <w:lang w:eastAsia="en-US"/>
        </w:rPr>
        <w:t xml:space="preserve"> entiende que:</w:t>
      </w:r>
    </w:p>
    <w:p w14:paraId="381F1752" w14:textId="77777777" w:rsidR="009917C0" w:rsidRDefault="00554819" w:rsidP="00554819">
      <w:pPr>
        <w:pStyle w:val="Prrafodelista"/>
        <w:numPr>
          <w:ilvl w:val="0"/>
          <w:numId w:val="15"/>
        </w:numPr>
        <w:spacing w:after="240" w:line="259" w:lineRule="auto"/>
        <w:ind w:left="419" w:hanging="357"/>
        <w:contextualSpacing w:val="0"/>
        <w:jc w:val="both"/>
        <w:rPr>
          <w:rFonts w:ascii="Arial" w:hAnsi="Arial" w:cs="Arial"/>
          <w:bCs/>
          <w:sz w:val="24"/>
          <w:szCs w:val="24"/>
        </w:rPr>
      </w:pPr>
      <w:r w:rsidRPr="003153DA">
        <w:rPr>
          <w:rFonts w:ascii="Arial" w:hAnsi="Arial" w:cs="Arial"/>
          <w:bCs/>
          <w:sz w:val="24"/>
          <w:szCs w:val="24"/>
        </w:rPr>
        <w:t>Aque</w:t>
      </w:r>
      <w:r>
        <w:rPr>
          <w:rFonts w:ascii="Arial" w:hAnsi="Arial" w:cs="Arial"/>
          <w:bCs/>
          <w:sz w:val="24"/>
          <w:szCs w:val="24"/>
        </w:rPr>
        <w:t>l</w:t>
      </w:r>
      <w:r w:rsidRPr="003153DA">
        <w:rPr>
          <w:rFonts w:ascii="Arial" w:hAnsi="Arial" w:cs="Arial"/>
          <w:bCs/>
          <w:sz w:val="24"/>
          <w:szCs w:val="24"/>
        </w:rPr>
        <w:t xml:space="preserve"> produ</w:t>
      </w:r>
      <w:r w:rsidRPr="00BC4FDB">
        <w:rPr>
          <w:rFonts w:ascii="Arial" w:hAnsi="Arial" w:cs="Arial"/>
          <w:bCs/>
          <w:sz w:val="24"/>
          <w:szCs w:val="24"/>
        </w:rPr>
        <w:t xml:space="preserve">cto envasado en el que </w:t>
      </w:r>
      <w:r w:rsidRPr="009B096D">
        <w:rPr>
          <w:rFonts w:ascii="Arial" w:hAnsi="Arial" w:cs="Arial"/>
          <w:bCs/>
          <w:sz w:val="24"/>
          <w:szCs w:val="24"/>
          <w:u w:val="single"/>
        </w:rPr>
        <w:t>el envase</w:t>
      </w:r>
      <w:r w:rsidRPr="00BC4FDB">
        <w:rPr>
          <w:rFonts w:ascii="Arial" w:hAnsi="Arial" w:cs="Arial"/>
          <w:bCs/>
          <w:sz w:val="24"/>
          <w:szCs w:val="24"/>
          <w:u w:val="single"/>
        </w:rPr>
        <w:t xml:space="preserve"> destinado al comercio minorista es absolutamente idéntico al envase destinado al canal HORECA</w:t>
      </w:r>
      <w:r w:rsidRPr="00BC4FDB">
        <w:rPr>
          <w:rFonts w:ascii="Arial" w:hAnsi="Arial" w:cs="Arial"/>
          <w:bCs/>
          <w:sz w:val="24"/>
          <w:szCs w:val="24"/>
        </w:rPr>
        <w:t xml:space="preserve"> en todos sus aspectos, incluido</w:t>
      </w:r>
      <w:r w:rsidRPr="003153DA">
        <w:rPr>
          <w:rFonts w:ascii="Arial" w:hAnsi="Arial" w:cs="Arial"/>
          <w:bCs/>
          <w:sz w:val="24"/>
          <w:szCs w:val="24"/>
        </w:rPr>
        <w:t xml:space="preserve"> el formato, el tamaño, el gramaje, la forma, el etiquetado y la marca</w:t>
      </w:r>
      <w:r>
        <w:rPr>
          <w:rFonts w:ascii="Arial" w:hAnsi="Arial" w:cs="Arial"/>
          <w:bCs/>
          <w:sz w:val="24"/>
          <w:szCs w:val="24"/>
        </w:rPr>
        <w:t xml:space="preserve"> comercial</w:t>
      </w:r>
      <w:r w:rsidRPr="003153DA">
        <w:rPr>
          <w:rFonts w:ascii="Arial" w:hAnsi="Arial" w:cs="Arial"/>
          <w:bCs/>
          <w:sz w:val="24"/>
          <w:szCs w:val="24"/>
        </w:rPr>
        <w:t xml:space="preserve">, </w:t>
      </w:r>
      <w:r w:rsidRPr="003153DA">
        <w:rPr>
          <w:rFonts w:ascii="Arial" w:hAnsi="Arial" w:cs="Arial"/>
          <w:b/>
          <w:sz w:val="24"/>
          <w:szCs w:val="24"/>
        </w:rPr>
        <w:t xml:space="preserve">será </w:t>
      </w:r>
      <w:r>
        <w:rPr>
          <w:rFonts w:ascii="Arial" w:hAnsi="Arial" w:cs="Arial"/>
          <w:b/>
          <w:sz w:val="24"/>
          <w:szCs w:val="24"/>
        </w:rPr>
        <w:t xml:space="preserve">un </w:t>
      </w:r>
      <w:r w:rsidRPr="003153DA">
        <w:rPr>
          <w:rFonts w:ascii="Arial" w:hAnsi="Arial" w:cs="Arial"/>
          <w:b/>
          <w:sz w:val="24"/>
          <w:szCs w:val="24"/>
        </w:rPr>
        <w:t>producto envasado en envase doméstico</w:t>
      </w:r>
      <w:r>
        <w:rPr>
          <w:rFonts w:ascii="Arial" w:hAnsi="Arial" w:cs="Arial"/>
          <w:bCs/>
          <w:sz w:val="24"/>
          <w:szCs w:val="24"/>
        </w:rPr>
        <w:t>.</w:t>
      </w:r>
    </w:p>
    <w:p w14:paraId="51DD5863" w14:textId="5983F330" w:rsidR="00554819" w:rsidRPr="003153DA" w:rsidRDefault="00554819" w:rsidP="009917C0">
      <w:pPr>
        <w:pStyle w:val="Prrafodelista"/>
        <w:spacing w:after="240" w:line="259" w:lineRule="auto"/>
        <w:ind w:left="419"/>
        <w:contextualSpacing w:val="0"/>
        <w:jc w:val="both"/>
        <w:rPr>
          <w:rFonts w:ascii="Arial" w:hAnsi="Arial" w:cs="Arial"/>
          <w:bCs/>
          <w:sz w:val="24"/>
          <w:szCs w:val="24"/>
        </w:rPr>
      </w:pPr>
      <w:r w:rsidRPr="003153DA">
        <w:rPr>
          <w:rFonts w:ascii="Arial" w:hAnsi="Arial" w:cs="Arial"/>
          <w:bCs/>
          <w:i/>
          <w:iCs/>
          <w:sz w:val="24"/>
          <w:szCs w:val="24"/>
        </w:rPr>
        <w:t xml:space="preserve">Ejemplo: una lata de aluminio </w:t>
      </w:r>
      <w:r>
        <w:rPr>
          <w:rFonts w:ascii="Arial" w:hAnsi="Arial" w:cs="Arial"/>
          <w:bCs/>
          <w:i/>
          <w:iCs/>
          <w:sz w:val="24"/>
          <w:szCs w:val="24"/>
        </w:rPr>
        <w:t xml:space="preserve">de 33 cl. </w:t>
      </w:r>
      <w:r w:rsidRPr="003153DA">
        <w:rPr>
          <w:rFonts w:ascii="Arial" w:hAnsi="Arial" w:cs="Arial"/>
          <w:bCs/>
          <w:i/>
          <w:iCs/>
          <w:sz w:val="24"/>
          <w:szCs w:val="24"/>
        </w:rPr>
        <w:t>conteniendo un refresco, que se comercializa tanto en el comercio minorista como en el canal HORECA</w:t>
      </w:r>
      <w:r>
        <w:rPr>
          <w:rFonts w:ascii="Arial" w:hAnsi="Arial" w:cs="Arial"/>
          <w:bCs/>
          <w:sz w:val="24"/>
          <w:szCs w:val="24"/>
        </w:rPr>
        <w:t>.</w:t>
      </w:r>
    </w:p>
    <w:p w14:paraId="418ACBA4" w14:textId="4C19ABD3" w:rsidR="00F7609E" w:rsidRDefault="00554819" w:rsidP="00DB5CA5">
      <w:pPr>
        <w:pStyle w:val="Prrafodelista"/>
        <w:numPr>
          <w:ilvl w:val="0"/>
          <w:numId w:val="15"/>
        </w:numPr>
        <w:autoSpaceDE w:val="0"/>
        <w:autoSpaceDN w:val="0"/>
        <w:adjustRightInd w:val="0"/>
        <w:spacing w:after="240" w:line="259" w:lineRule="auto"/>
        <w:ind w:left="419" w:hanging="357"/>
        <w:contextualSpacing w:val="0"/>
        <w:jc w:val="both"/>
        <w:rPr>
          <w:rFonts w:ascii="Arial" w:hAnsi="Arial" w:cs="Arial"/>
          <w:bCs/>
          <w:sz w:val="24"/>
          <w:szCs w:val="24"/>
        </w:rPr>
      </w:pPr>
      <w:bookmarkStart w:id="1" w:name="_Hlk130375792"/>
      <w:r w:rsidRPr="00BC4FDB">
        <w:rPr>
          <w:rFonts w:ascii="Arial" w:hAnsi="Arial" w:cs="Arial"/>
          <w:bCs/>
          <w:sz w:val="24"/>
          <w:szCs w:val="24"/>
        </w:rPr>
        <w:t xml:space="preserve">Aquel producto envasado en el que </w:t>
      </w:r>
      <w:r w:rsidRPr="009B096D">
        <w:rPr>
          <w:rFonts w:ascii="Arial" w:hAnsi="Arial" w:cs="Arial"/>
          <w:bCs/>
          <w:sz w:val="24"/>
          <w:szCs w:val="24"/>
          <w:u w:val="single"/>
        </w:rPr>
        <w:t>el envase</w:t>
      </w:r>
      <w:r w:rsidRPr="00BC4FDB">
        <w:rPr>
          <w:rFonts w:ascii="Arial" w:hAnsi="Arial" w:cs="Arial"/>
          <w:bCs/>
          <w:sz w:val="24"/>
          <w:szCs w:val="24"/>
          <w:u w:val="single"/>
        </w:rPr>
        <w:t xml:space="preserve"> destinado al canal HORECA incluye una leyenda similar a “</w:t>
      </w:r>
      <w:r w:rsidRPr="00BC4FDB">
        <w:rPr>
          <w:rFonts w:ascii="Arial" w:hAnsi="Arial" w:cs="Arial"/>
          <w:bCs/>
          <w:i/>
          <w:iCs/>
          <w:sz w:val="24"/>
          <w:szCs w:val="24"/>
          <w:u w:val="single"/>
        </w:rPr>
        <w:t>Venta exclusiva en HORECA</w:t>
      </w:r>
      <w:r w:rsidRPr="00BC4FDB">
        <w:rPr>
          <w:rFonts w:ascii="Arial" w:hAnsi="Arial" w:cs="Arial"/>
          <w:bCs/>
          <w:sz w:val="24"/>
          <w:szCs w:val="24"/>
          <w:u w:val="single"/>
        </w:rPr>
        <w:t>”</w:t>
      </w:r>
      <w:r w:rsidRPr="00BC4FDB">
        <w:rPr>
          <w:rFonts w:ascii="Arial" w:hAnsi="Arial" w:cs="Arial"/>
          <w:bCs/>
          <w:sz w:val="24"/>
          <w:szCs w:val="24"/>
        </w:rPr>
        <w:t>, pero que es idéntico al envase destinado al comercio minorista en formato, tamaño, gramaje, forma y marca</w:t>
      </w:r>
      <w:r>
        <w:rPr>
          <w:rFonts w:ascii="Arial" w:hAnsi="Arial" w:cs="Arial"/>
          <w:bCs/>
          <w:sz w:val="24"/>
          <w:szCs w:val="24"/>
        </w:rPr>
        <w:t xml:space="preserve"> comercial</w:t>
      </w:r>
      <w:r w:rsidRPr="00BC4FDB">
        <w:rPr>
          <w:rFonts w:ascii="Arial" w:hAnsi="Arial" w:cs="Arial"/>
          <w:bCs/>
          <w:sz w:val="24"/>
          <w:szCs w:val="24"/>
        </w:rPr>
        <w:t xml:space="preserve">, </w:t>
      </w:r>
      <w:r w:rsidRPr="00BC4FDB">
        <w:rPr>
          <w:rFonts w:ascii="Arial" w:hAnsi="Arial" w:cs="Arial"/>
          <w:b/>
          <w:sz w:val="24"/>
          <w:szCs w:val="24"/>
        </w:rPr>
        <w:t xml:space="preserve">será un producto envasado en envase </w:t>
      </w:r>
      <w:r w:rsidR="00016909">
        <w:rPr>
          <w:rFonts w:ascii="Arial" w:hAnsi="Arial" w:cs="Arial"/>
          <w:b/>
          <w:sz w:val="24"/>
          <w:szCs w:val="24"/>
        </w:rPr>
        <w:t>doméstico</w:t>
      </w:r>
      <w:bookmarkStart w:id="2" w:name="_Hlk130291236"/>
      <w:r w:rsidR="00DB5CA5">
        <w:rPr>
          <w:rFonts w:ascii="Arial" w:hAnsi="Arial" w:cs="Arial"/>
          <w:bCs/>
          <w:sz w:val="24"/>
          <w:szCs w:val="24"/>
        </w:rPr>
        <w:t>.</w:t>
      </w:r>
      <w:bookmarkEnd w:id="2"/>
    </w:p>
    <w:p w14:paraId="33949FF0" w14:textId="4BED087D" w:rsidR="00554819" w:rsidRPr="009917C0" w:rsidRDefault="00554819" w:rsidP="009917C0">
      <w:pPr>
        <w:pStyle w:val="Prrafodelista"/>
        <w:autoSpaceDE w:val="0"/>
        <w:autoSpaceDN w:val="0"/>
        <w:adjustRightInd w:val="0"/>
        <w:spacing w:after="240" w:line="259" w:lineRule="auto"/>
        <w:ind w:left="419"/>
        <w:contextualSpacing w:val="0"/>
        <w:jc w:val="both"/>
        <w:rPr>
          <w:rFonts w:ascii="Arial" w:hAnsi="Arial" w:cs="Arial"/>
          <w:bCs/>
          <w:sz w:val="24"/>
          <w:szCs w:val="24"/>
        </w:rPr>
      </w:pPr>
      <w:r w:rsidRPr="009917C0">
        <w:rPr>
          <w:rFonts w:ascii="Arial" w:hAnsi="Arial" w:cs="Arial"/>
          <w:bCs/>
          <w:i/>
          <w:iCs/>
          <w:sz w:val="24"/>
          <w:szCs w:val="24"/>
        </w:rPr>
        <w:t>Ejemplo: una botella de vidrio</w:t>
      </w:r>
      <w:r w:rsidR="00AE4C71">
        <w:rPr>
          <w:rFonts w:ascii="Arial" w:hAnsi="Arial" w:cs="Arial"/>
          <w:bCs/>
          <w:i/>
          <w:iCs/>
          <w:sz w:val="24"/>
          <w:szCs w:val="24"/>
        </w:rPr>
        <w:t xml:space="preserve"> de un solo uso</w:t>
      </w:r>
      <w:r w:rsidRPr="009917C0">
        <w:rPr>
          <w:rFonts w:ascii="Arial" w:hAnsi="Arial" w:cs="Arial"/>
          <w:bCs/>
          <w:i/>
          <w:iCs/>
          <w:sz w:val="24"/>
          <w:szCs w:val="24"/>
        </w:rPr>
        <w:t xml:space="preserve"> de 1 litro conteniendo agua mineral que en la etiqueta de los envases destinados a canal HORECA incluye la mención “Exclusivo hostelería”, mención que no aparece en los envases destinados a comercio minorista</w:t>
      </w:r>
      <w:r w:rsidR="00F7609E" w:rsidRPr="009917C0">
        <w:rPr>
          <w:rFonts w:ascii="Arial" w:hAnsi="Arial" w:cs="Arial"/>
          <w:bCs/>
          <w:i/>
          <w:iCs/>
          <w:sz w:val="24"/>
          <w:szCs w:val="24"/>
        </w:rPr>
        <w:t xml:space="preserve">, pero donde se distribuye la misma botella sin esta </w:t>
      </w:r>
      <w:r w:rsidR="00FA713E">
        <w:rPr>
          <w:rFonts w:ascii="Arial" w:hAnsi="Arial" w:cs="Arial"/>
          <w:bCs/>
          <w:i/>
          <w:iCs/>
          <w:sz w:val="24"/>
          <w:szCs w:val="24"/>
        </w:rPr>
        <w:t xml:space="preserve">frase en la </w:t>
      </w:r>
      <w:r w:rsidR="00F7609E" w:rsidRPr="009917C0">
        <w:rPr>
          <w:rFonts w:ascii="Arial" w:hAnsi="Arial" w:cs="Arial"/>
          <w:bCs/>
          <w:i/>
          <w:iCs/>
          <w:sz w:val="24"/>
          <w:szCs w:val="24"/>
        </w:rPr>
        <w:t>etiqueta</w:t>
      </w:r>
      <w:r w:rsidRPr="009917C0">
        <w:rPr>
          <w:rFonts w:ascii="Arial" w:hAnsi="Arial" w:cs="Arial"/>
          <w:bCs/>
          <w:sz w:val="24"/>
          <w:szCs w:val="24"/>
        </w:rPr>
        <w:t>.</w:t>
      </w:r>
    </w:p>
    <w:bookmarkEnd w:id="1"/>
    <w:p w14:paraId="4129BD0C" w14:textId="3C85F044" w:rsidR="00D9305C" w:rsidRPr="00A23792" w:rsidRDefault="00554819" w:rsidP="00A23792">
      <w:pPr>
        <w:pStyle w:val="Prrafodelista"/>
        <w:numPr>
          <w:ilvl w:val="0"/>
          <w:numId w:val="15"/>
        </w:numPr>
        <w:autoSpaceDE w:val="0"/>
        <w:autoSpaceDN w:val="0"/>
        <w:adjustRightInd w:val="0"/>
        <w:spacing w:after="240" w:line="259" w:lineRule="auto"/>
        <w:ind w:left="419" w:hanging="357"/>
        <w:contextualSpacing w:val="0"/>
        <w:jc w:val="both"/>
        <w:rPr>
          <w:sz w:val="23"/>
          <w:szCs w:val="23"/>
        </w:rPr>
      </w:pPr>
      <w:r w:rsidRPr="009B096D">
        <w:rPr>
          <w:rFonts w:ascii="Arial" w:hAnsi="Arial" w:cs="Arial"/>
          <w:bCs/>
          <w:sz w:val="24"/>
          <w:szCs w:val="24"/>
        </w:rPr>
        <w:t>Aquel p</w:t>
      </w:r>
      <w:r w:rsidRPr="008F0CF8">
        <w:rPr>
          <w:rFonts w:ascii="Arial" w:hAnsi="Arial" w:cs="Arial"/>
          <w:bCs/>
          <w:sz w:val="24"/>
          <w:szCs w:val="24"/>
        </w:rPr>
        <w:t>roducto envasado</w:t>
      </w:r>
      <w:r w:rsidRPr="009B096D">
        <w:rPr>
          <w:rFonts w:ascii="Arial" w:hAnsi="Arial" w:cs="Arial"/>
          <w:bCs/>
          <w:sz w:val="24"/>
          <w:szCs w:val="24"/>
        </w:rPr>
        <w:t xml:space="preserve"> en el que </w:t>
      </w:r>
      <w:r w:rsidRPr="009B096D">
        <w:rPr>
          <w:rFonts w:ascii="Arial" w:hAnsi="Arial" w:cs="Arial"/>
          <w:bCs/>
          <w:sz w:val="24"/>
          <w:szCs w:val="24"/>
          <w:u w:val="single"/>
        </w:rPr>
        <w:t xml:space="preserve">el envase destinado al canal HORECA incluye </w:t>
      </w:r>
      <w:r w:rsidRPr="008F0CF8">
        <w:rPr>
          <w:rFonts w:ascii="Arial" w:hAnsi="Arial" w:cs="Arial"/>
          <w:bCs/>
          <w:sz w:val="24"/>
          <w:szCs w:val="24"/>
          <w:u w:val="single"/>
        </w:rPr>
        <w:t>una etiqueta diferente</w:t>
      </w:r>
      <w:r w:rsidRPr="008F0CF8">
        <w:rPr>
          <w:rFonts w:ascii="Arial" w:hAnsi="Arial" w:cs="Arial"/>
          <w:bCs/>
          <w:sz w:val="24"/>
          <w:szCs w:val="24"/>
        </w:rPr>
        <w:t xml:space="preserve"> en todos sus aspectos a la que se utiliza en l</w:t>
      </w:r>
      <w:r w:rsidRPr="009B096D">
        <w:rPr>
          <w:rFonts w:ascii="Arial" w:hAnsi="Arial" w:cs="Arial"/>
          <w:bCs/>
          <w:sz w:val="24"/>
          <w:szCs w:val="24"/>
        </w:rPr>
        <w:t xml:space="preserve">os envases destinados al comercio </w:t>
      </w:r>
      <w:r w:rsidRPr="008F0CF8">
        <w:rPr>
          <w:rFonts w:ascii="Arial" w:hAnsi="Arial" w:cs="Arial"/>
          <w:bCs/>
          <w:sz w:val="24"/>
          <w:szCs w:val="24"/>
        </w:rPr>
        <w:t xml:space="preserve">minorista </w:t>
      </w:r>
      <w:r w:rsidRPr="009B096D">
        <w:rPr>
          <w:rFonts w:ascii="Arial" w:hAnsi="Arial" w:cs="Arial"/>
          <w:bCs/>
          <w:sz w:val="24"/>
          <w:szCs w:val="24"/>
        </w:rPr>
        <w:t xml:space="preserve">salvo </w:t>
      </w:r>
      <w:r w:rsidRPr="008F0CF8">
        <w:rPr>
          <w:rFonts w:ascii="Arial" w:hAnsi="Arial" w:cs="Arial"/>
          <w:bCs/>
          <w:sz w:val="24"/>
          <w:szCs w:val="24"/>
        </w:rPr>
        <w:t>la marca comercial,</w:t>
      </w:r>
      <w:r w:rsidRPr="009B096D">
        <w:rPr>
          <w:rFonts w:ascii="Arial" w:hAnsi="Arial" w:cs="Arial"/>
          <w:bCs/>
          <w:sz w:val="24"/>
          <w:szCs w:val="24"/>
        </w:rPr>
        <w:t xml:space="preserve"> que es la misma, y siendo además</w:t>
      </w:r>
      <w:r w:rsidRPr="008F0CF8">
        <w:rPr>
          <w:rFonts w:ascii="Arial" w:hAnsi="Arial" w:cs="Arial"/>
          <w:bCs/>
          <w:sz w:val="24"/>
          <w:szCs w:val="24"/>
        </w:rPr>
        <w:t xml:space="preserve"> el envase idéntico al </w:t>
      </w:r>
      <w:r w:rsidRPr="009B096D">
        <w:rPr>
          <w:rFonts w:ascii="Arial" w:hAnsi="Arial" w:cs="Arial"/>
          <w:bCs/>
          <w:sz w:val="24"/>
          <w:szCs w:val="24"/>
        </w:rPr>
        <w:t xml:space="preserve">destinado al comercio minorista en formato, tamaño, gramaje y forma, </w:t>
      </w:r>
      <w:r w:rsidRPr="009B096D">
        <w:rPr>
          <w:rFonts w:ascii="Arial" w:hAnsi="Arial" w:cs="Arial"/>
          <w:b/>
          <w:sz w:val="24"/>
          <w:szCs w:val="24"/>
        </w:rPr>
        <w:t xml:space="preserve">será un producto envasado en envase </w:t>
      </w:r>
      <w:r w:rsidR="00F7609E">
        <w:rPr>
          <w:rFonts w:ascii="Arial" w:hAnsi="Arial" w:cs="Arial"/>
          <w:b/>
          <w:sz w:val="24"/>
          <w:szCs w:val="24"/>
        </w:rPr>
        <w:t>doméstico</w:t>
      </w:r>
      <w:r w:rsidR="00D9305C">
        <w:rPr>
          <w:rFonts w:ascii="Arial" w:hAnsi="Arial" w:cs="Arial"/>
          <w:bCs/>
          <w:sz w:val="24"/>
          <w:szCs w:val="24"/>
        </w:rPr>
        <w:t>.</w:t>
      </w:r>
    </w:p>
    <w:p w14:paraId="67C88916" w14:textId="48C51504" w:rsidR="00554819" w:rsidRPr="009B096D" w:rsidRDefault="00554819" w:rsidP="00D9305C">
      <w:pPr>
        <w:pStyle w:val="Prrafodelista"/>
        <w:autoSpaceDE w:val="0"/>
        <w:autoSpaceDN w:val="0"/>
        <w:adjustRightInd w:val="0"/>
        <w:spacing w:after="240" w:line="259" w:lineRule="auto"/>
        <w:ind w:left="419"/>
        <w:contextualSpacing w:val="0"/>
        <w:jc w:val="both"/>
        <w:rPr>
          <w:sz w:val="23"/>
          <w:szCs w:val="23"/>
        </w:rPr>
      </w:pPr>
      <w:r w:rsidRPr="009B096D">
        <w:rPr>
          <w:rFonts w:ascii="Arial" w:hAnsi="Arial" w:cs="Arial"/>
          <w:bCs/>
          <w:i/>
          <w:iCs/>
          <w:sz w:val="24"/>
          <w:szCs w:val="24"/>
        </w:rPr>
        <w:t xml:space="preserve">Ejemplo: una botella de </w:t>
      </w:r>
      <w:r w:rsidR="0034749F">
        <w:rPr>
          <w:rFonts w:ascii="Arial" w:hAnsi="Arial" w:cs="Arial"/>
          <w:bCs/>
          <w:i/>
          <w:iCs/>
          <w:sz w:val="24"/>
          <w:szCs w:val="24"/>
        </w:rPr>
        <w:t>PEAD</w:t>
      </w:r>
      <w:r w:rsidRPr="009B096D">
        <w:rPr>
          <w:rFonts w:ascii="Arial" w:hAnsi="Arial" w:cs="Arial"/>
          <w:bCs/>
          <w:i/>
          <w:iCs/>
          <w:sz w:val="24"/>
          <w:szCs w:val="24"/>
        </w:rPr>
        <w:t xml:space="preserve"> de 1,5 litros conteniendo leche que en el envase destinado a canal HORECA presenta una etiqueta de color azul, mientras que la etiqueta de los envases destinados al comercio minorista es de color blanco.</w:t>
      </w:r>
    </w:p>
    <w:p w14:paraId="3B259E9C" w14:textId="085C5170" w:rsidR="0034749F" w:rsidRPr="00A23792" w:rsidRDefault="00554819" w:rsidP="00A23792">
      <w:pPr>
        <w:pStyle w:val="Prrafodelista"/>
        <w:numPr>
          <w:ilvl w:val="0"/>
          <w:numId w:val="15"/>
        </w:numPr>
        <w:autoSpaceDE w:val="0"/>
        <w:autoSpaceDN w:val="0"/>
        <w:adjustRightInd w:val="0"/>
        <w:spacing w:after="240" w:line="259" w:lineRule="auto"/>
        <w:ind w:left="419" w:hanging="357"/>
        <w:contextualSpacing w:val="0"/>
        <w:jc w:val="both"/>
        <w:rPr>
          <w:rFonts w:ascii="Arial" w:hAnsi="Arial" w:cs="Arial"/>
          <w:bCs/>
          <w:sz w:val="24"/>
          <w:szCs w:val="24"/>
        </w:rPr>
      </w:pPr>
      <w:r w:rsidRPr="00490AE8">
        <w:rPr>
          <w:rFonts w:ascii="Arial" w:hAnsi="Arial" w:cs="Arial"/>
          <w:bCs/>
          <w:sz w:val="24"/>
          <w:szCs w:val="24"/>
        </w:rPr>
        <w:t>Aquel p</w:t>
      </w:r>
      <w:r w:rsidRPr="008F0CF8">
        <w:rPr>
          <w:rFonts w:ascii="Arial" w:hAnsi="Arial" w:cs="Arial"/>
          <w:bCs/>
          <w:sz w:val="24"/>
          <w:szCs w:val="24"/>
        </w:rPr>
        <w:t xml:space="preserve">roducto envasado </w:t>
      </w:r>
      <w:r>
        <w:rPr>
          <w:rFonts w:ascii="Arial" w:hAnsi="Arial" w:cs="Arial"/>
          <w:bCs/>
          <w:sz w:val="24"/>
          <w:szCs w:val="24"/>
        </w:rPr>
        <w:t xml:space="preserve">en el que </w:t>
      </w:r>
      <w:r w:rsidRPr="00490AE8">
        <w:rPr>
          <w:rFonts w:ascii="Arial" w:hAnsi="Arial" w:cs="Arial"/>
          <w:bCs/>
          <w:sz w:val="24"/>
          <w:szCs w:val="24"/>
          <w:u w:val="single"/>
        </w:rPr>
        <w:t xml:space="preserve">el envase destinado al canal HORECA </w:t>
      </w:r>
      <w:r w:rsidRPr="008F0CF8">
        <w:rPr>
          <w:rFonts w:ascii="Arial" w:hAnsi="Arial" w:cs="Arial"/>
          <w:bCs/>
          <w:sz w:val="24"/>
          <w:szCs w:val="24"/>
          <w:u w:val="single"/>
        </w:rPr>
        <w:t xml:space="preserve">se </w:t>
      </w:r>
      <w:r w:rsidRPr="00490AE8">
        <w:rPr>
          <w:rFonts w:ascii="Arial" w:hAnsi="Arial" w:cs="Arial"/>
          <w:bCs/>
          <w:sz w:val="24"/>
          <w:szCs w:val="24"/>
          <w:u w:val="single"/>
        </w:rPr>
        <w:t>comercializa a través de</w:t>
      </w:r>
      <w:r w:rsidRPr="008F0CF8">
        <w:rPr>
          <w:rFonts w:ascii="Arial" w:hAnsi="Arial" w:cs="Arial"/>
          <w:bCs/>
          <w:sz w:val="24"/>
          <w:szCs w:val="24"/>
          <w:u w:val="single"/>
        </w:rPr>
        <w:t xml:space="preserve"> una marca</w:t>
      </w:r>
      <w:r>
        <w:rPr>
          <w:rFonts w:ascii="Arial" w:hAnsi="Arial" w:cs="Arial"/>
          <w:bCs/>
          <w:sz w:val="24"/>
          <w:szCs w:val="24"/>
          <w:u w:val="single"/>
        </w:rPr>
        <w:t xml:space="preserve"> comercial</w:t>
      </w:r>
      <w:r w:rsidRPr="008F0CF8">
        <w:rPr>
          <w:rFonts w:ascii="Arial" w:hAnsi="Arial" w:cs="Arial"/>
          <w:bCs/>
          <w:sz w:val="24"/>
          <w:szCs w:val="24"/>
          <w:u w:val="single"/>
        </w:rPr>
        <w:t xml:space="preserve"> específica</w:t>
      </w:r>
      <w:r w:rsidRPr="006A333E">
        <w:rPr>
          <w:rFonts w:ascii="Arial" w:hAnsi="Arial" w:cs="Arial"/>
          <w:bCs/>
          <w:sz w:val="24"/>
          <w:szCs w:val="24"/>
          <w:u w:val="single"/>
        </w:rPr>
        <w:t xml:space="preserve"> y no disponible en el comercio minorista</w:t>
      </w:r>
      <w:r>
        <w:rPr>
          <w:rFonts w:ascii="Arial" w:hAnsi="Arial" w:cs="Arial"/>
          <w:bCs/>
          <w:sz w:val="24"/>
          <w:szCs w:val="24"/>
        </w:rPr>
        <w:t xml:space="preserve">, aun siendo este envase </w:t>
      </w:r>
      <w:r w:rsidRPr="00490AE8">
        <w:rPr>
          <w:rFonts w:ascii="Arial" w:hAnsi="Arial" w:cs="Arial"/>
          <w:bCs/>
          <w:sz w:val="24"/>
          <w:szCs w:val="24"/>
        </w:rPr>
        <w:t xml:space="preserve">idéntico al envase destinado al </w:t>
      </w:r>
      <w:r>
        <w:rPr>
          <w:rFonts w:ascii="Arial" w:hAnsi="Arial" w:cs="Arial"/>
          <w:bCs/>
          <w:sz w:val="24"/>
          <w:szCs w:val="24"/>
        </w:rPr>
        <w:t xml:space="preserve">comercio minorista en </w:t>
      </w:r>
      <w:r w:rsidRPr="003153DA">
        <w:rPr>
          <w:rFonts w:ascii="Arial" w:hAnsi="Arial" w:cs="Arial"/>
          <w:bCs/>
          <w:sz w:val="24"/>
          <w:szCs w:val="24"/>
        </w:rPr>
        <w:t>formato,</w:t>
      </w:r>
      <w:r>
        <w:rPr>
          <w:rFonts w:ascii="Arial" w:hAnsi="Arial" w:cs="Arial"/>
          <w:bCs/>
          <w:sz w:val="24"/>
          <w:szCs w:val="24"/>
        </w:rPr>
        <w:t xml:space="preserve"> </w:t>
      </w:r>
      <w:r w:rsidRPr="003153DA">
        <w:rPr>
          <w:rFonts w:ascii="Arial" w:hAnsi="Arial" w:cs="Arial"/>
          <w:bCs/>
          <w:sz w:val="24"/>
          <w:szCs w:val="24"/>
        </w:rPr>
        <w:t>tamaño, gramaje</w:t>
      </w:r>
      <w:r>
        <w:rPr>
          <w:rFonts w:ascii="Arial" w:hAnsi="Arial" w:cs="Arial"/>
          <w:bCs/>
          <w:sz w:val="24"/>
          <w:szCs w:val="24"/>
        </w:rPr>
        <w:t xml:space="preserve"> y </w:t>
      </w:r>
      <w:r w:rsidRPr="003153DA">
        <w:rPr>
          <w:rFonts w:ascii="Arial" w:hAnsi="Arial" w:cs="Arial"/>
          <w:bCs/>
          <w:sz w:val="24"/>
          <w:szCs w:val="24"/>
        </w:rPr>
        <w:t>forma,</w:t>
      </w:r>
      <w:r>
        <w:rPr>
          <w:rFonts w:ascii="Arial" w:hAnsi="Arial" w:cs="Arial"/>
          <w:bCs/>
          <w:sz w:val="24"/>
          <w:szCs w:val="24"/>
        </w:rPr>
        <w:t xml:space="preserve"> </w:t>
      </w:r>
      <w:r w:rsidRPr="009B096D">
        <w:rPr>
          <w:rFonts w:ascii="Arial" w:hAnsi="Arial" w:cs="Arial"/>
          <w:b/>
          <w:sz w:val="24"/>
          <w:szCs w:val="24"/>
        </w:rPr>
        <w:t xml:space="preserve">será un producto envasado en envase </w:t>
      </w:r>
      <w:r w:rsidR="0034749F">
        <w:rPr>
          <w:rFonts w:ascii="Arial" w:hAnsi="Arial" w:cs="Arial"/>
          <w:b/>
          <w:sz w:val="24"/>
          <w:szCs w:val="24"/>
        </w:rPr>
        <w:t>doméstico</w:t>
      </w:r>
      <w:r w:rsidRPr="009B096D">
        <w:rPr>
          <w:rFonts w:ascii="Arial" w:hAnsi="Arial" w:cs="Arial"/>
          <w:bCs/>
          <w:sz w:val="24"/>
          <w:szCs w:val="24"/>
        </w:rPr>
        <w:t>.</w:t>
      </w:r>
    </w:p>
    <w:p w14:paraId="133FF519" w14:textId="37D06748" w:rsidR="00554819" w:rsidRPr="006A333E" w:rsidRDefault="00554819" w:rsidP="0034749F">
      <w:pPr>
        <w:pStyle w:val="Prrafodelista"/>
        <w:autoSpaceDE w:val="0"/>
        <w:autoSpaceDN w:val="0"/>
        <w:adjustRightInd w:val="0"/>
        <w:spacing w:after="240" w:line="259" w:lineRule="auto"/>
        <w:ind w:left="419"/>
        <w:contextualSpacing w:val="0"/>
        <w:jc w:val="both"/>
        <w:rPr>
          <w:rFonts w:ascii="Arial" w:hAnsi="Arial" w:cs="Arial"/>
          <w:bCs/>
          <w:sz w:val="24"/>
          <w:szCs w:val="24"/>
        </w:rPr>
      </w:pPr>
      <w:r w:rsidRPr="009B096D">
        <w:rPr>
          <w:rFonts w:ascii="Arial" w:hAnsi="Arial" w:cs="Arial"/>
          <w:bCs/>
          <w:i/>
          <w:iCs/>
          <w:sz w:val="24"/>
          <w:szCs w:val="24"/>
        </w:rPr>
        <w:t xml:space="preserve">Ejemplo: una botella de </w:t>
      </w:r>
      <w:r>
        <w:rPr>
          <w:rFonts w:ascii="Arial" w:hAnsi="Arial" w:cs="Arial"/>
          <w:bCs/>
          <w:i/>
          <w:iCs/>
          <w:sz w:val="24"/>
          <w:szCs w:val="24"/>
        </w:rPr>
        <w:t xml:space="preserve">vidrio </w:t>
      </w:r>
      <w:r w:rsidR="00AE4C71">
        <w:rPr>
          <w:rFonts w:ascii="Arial" w:hAnsi="Arial" w:cs="Arial"/>
          <w:bCs/>
          <w:i/>
          <w:iCs/>
          <w:sz w:val="24"/>
          <w:szCs w:val="24"/>
        </w:rPr>
        <w:t xml:space="preserve">de un solo uso </w:t>
      </w:r>
      <w:r>
        <w:rPr>
          <w:rFonts w:ascii="Arial" w:hAnsi="Arial" w:cs="Arial"/>
          <w:bCs/>
          <w:i/>
          <w:iCs/>
          <w:sz w:val="24"/>
          <w:szCs w:val="24"/>
        </w:rPr>
        <w:t xml:space="preserve">de </w:t>
      </w:r>
      <w:r w:rsidR="0034749F">
        <w:rPr>
          <w:rFonts w:ascii="Arial" w:hAnsi="Arial" w:cs="Arial"/>
          <w:bCs/>
          <w:i/>
          <w:iCs/>
          <w:sz w:val="24"/>
          <w:szCs w:val="24"/>
        </w:rPr>
        <w:t>70 cl.</w:t>
      </w:r>
      <w:r>
        <w:rPr>
          <w:rFonts w:ascii="Arial" w:hAnsi="Arial" w:cs="Arial"/>
          <w:bCs/>
          <w:i/>
          <w:iCs/>
          <w:sz w:val="24"/>
          <w:szCs w:val="24"/>
        </w:rPr>
        <w:t xml:space="preserve"> conteniendo vino que se comercializa en canal HORECA bajo una marca comercial concreta que no está disponible en el comercio minorista, siendo la botella de vidrio la misma</w:t>
      </w:r>
      <w:r w:rsidR="0034749F">
        <w:rPr>
          <w:rFonts w:ascii="Arial" w:hAnsi="Arial" w:cs="Arial"/>
          <w:bCs/>
          <w:i/>
          <w:iCs/>
          <w:sz w:val="24"/>
          <w:szCs w:val="24"/>
        </w:rPr>
        <w:t xml:space="preserve"> utilizada por otros productores para la comercialización de vino en </w:t>
      </w:r>
      <w:r w:rsidR="006A3310">
        <w:rPr>
          <w:rFonts w:ascii="Arial" w:hAnsi="Arial" w:cs="Arial"/>
          <w:bCs/>
          <w:i/>
          <w:iCs/>
          <w:sz w:val="24"/>
          <w:szCs w:val="24"/>
        </w:rPr>
        <w:t xml:space="preserve">el </w:t>
      </w:r>
      <w:r w:rsidR="0034749F">
        <w:rPr>
          <w:rFonts w:ascii="Arial" w:hAnsi="Arial" w:cs="Arial"/>
          <w:bCs/>
          <w:i/>
          <w:iCs/>
          <w:sz w:val="24"/>
          <w:szCs w:val="24"/>
        </w:rPr>
        <w:t>canal doméstico</w:t>
      </w:r>
      <w:r>
        <w:rPr>
          <w:rFonts w:ascii="Arial" w:hAnsi="Arial" w:cs="Arial"/>
          <w:bCs/>
          <w:i/>
          <w:iCs/>
          <w:sz w:val="24"/>
          <w:szCs w:val="24"/>
        </w:rPr>
        <w:t>.</w:t>
      </w:r>
    </w:p>
    <w:p w14:paraId="34A7E1F0" w14:textId="77D49F56" w:rsidR="006A3310" w:rsidRPr="006A3310" w:rsidRDefault="00554819" w:rsidP="00554819">
      <w:pPr>
        <w:pStyle w:val="Prrafodelista"/>
        <w:numPr>
          <w:ilvl w:val="0"/>
          <w:numId w:val="15"/>
        </w:numPr>
        <w:autoSpaceDE w:val="0"/>
        <w:autoSpaceDN w:val="0"/>
        <w:adjustRightInd w:val="0"/>
        <w:spacing w:after="240" w:line="259" w:lineRule="auto"/>
        <w:ind w:left="419" w:hanging="357"/>
        <w:contextualSpacing w:val="0"/>
        <w:jc w:val="both"/>
        <w:rPr>
          <w:rFonts w:ascii="Arial" w:hAnsi="Arial" w:cs="Arial"/>
          <w:bCs/>
          <w:sz w:val="24"/>
          <w:szCs w:val="24"/>
        </w:rPr>
      </w:pPr>
      <w:r>
        <w:rPr>
          <w:rFonts w:ascii="Arial" w:hAnsi="Arial" w:cs="Arial"/>
          <w:bCs/>
          <w:sz w:val="24"/>
          <w:szCs w:val="24"/>
        </w:rPr>
        <w:t>Aquel p</w:t>
      </w:r>
      <w:r w:rsidRPr="006A333E">
        <w:rPr>
          <w:rFonts w:ascii="Arial" w:hAnsi="Arial" w:cs="Arial"/>
          <w:bCs/>
          <w:sz w:val="24"/>
          <w:szCs w:val="24"/>
        </w:rPr>
        <w:t>roducto envasado</w:t>
      </w:r>
      <w:r w:rsidRPr="00AB0E17">
        <w:rPr>
          <w:rFonts w:ascii="Arial" w:hAnsi="Arial" w:cs="Arial"/>
          <w:bCs/>
          <w:sz w:val="24"/>
          <w:szCs w:val="24"/>
        </w:rPr>
        <w:t xml:space="preserve"> </w:t>
      </w:r>
      <w:r>
        <w:rPr>
          <w:rFonts w:ascii="Arial" w:hAnsi="Arial" w:cs="Arial"/>
          <w:bCs/>
          <w:sz w:val="24"/>
          <w:szCs w:val="24"/>
        </w:rPr>
        <w:t xml:space="preserve">en el que </w:t>
      </w:r>
      <w:r w:rsidRPr="00490AE8">
        <w:rPr>
          <w:rFonts w:ascii="Arial" w:hAnsi="Arial" w:cs="Arial"/>
          <w:bCs/>
          <w:sz w:val="24"/>
          <w:szCs w:val="24"/>
          <w:u w:val="single"/>
        </w:rPr>
        <w:t>el envase destinado al canal HORECA</w:t>
      </w:r>
      <w:r>
        <w:rPr>
          <w:rFonts w:ascii="Arial" w:hAnsi="Arial" w:cs="Arial"/>
          <w:bCs/>
          <w:sz w:val="24"/>
          <w:szCs w:val="24"/>
          <w:u w:val="single"/>
        </w:rPr>
        <w:t xml:space="preserve"> es exclusivo</w:t>
      </w:r>
      <w:r w:rsidRPr="00AB0E17">
        <w:rPr>
          <w:rFonts w:ascii="Arial" w:hAnsi="Arial" w:cs="Arial"/>
          <w:bCs/>
          <w:sz w:val="24"/>
          <w:szCs w:val="24"/>
          <w:u w:val="single"/>
        </w:rPr>
        <w:t xml:space="preserve"> de este canal</w:t>
      </w:r>
      <w:r>
        <w:rPr>
          <w:rFonts w:ascii="Arial" w:hAnsi="Arial" w:cs="Arial"/>
          <w:bCs/>
          <w:sz w:val="24"/>
          <w:szCs w:val="24"/>
        </w:rPr>
        <w:t xml:space="preserve">, y </w:t>
      </w:r>
      <w:r w:rsidRPr="00AB0E17">
        <w:rPr>
          <w:rFonts w:ascii="Arial" w:hAnsi="Arial" w:cs="Arial"/>
          <w:bCs/>
          <w:sz w:val="24"/>
          <w:szCs w:val="24"/>
        </w:rPr>
        <w:t xml:space="preserve">presenta un formato, tamaño, gramaje, forma y etiquetado </w:t>
      </w:r>
      <w:r>
        <w:rPr>
          <w:rFonts w:ascii="Arial" w:hAnsi="Arial" w:cs="Arial"/>
          <w:bCs/>
          <w:sz w:val="24"/>
          <w:szCs w:val="24"/>
        </w:rPr>
        <w:t xml:space="preserve">diferente </w:t>
      </w:r>
      <w:r w:rsidRPr="00BC4FDB">
        <w:rPr>
          <w:rFonts w:ascii="Arial" w:hAnsi="Arial" w:cs="Arial"/>
          <w:bCs/>
          <w:sz w:val="24"/>
          <w:szCs w:val="24"/>
        </w:rPr>
        <w:t>al envase destinado al comercio minorista</w:t>
      </w:r>
      <w:r>
        <w:rPr>
          <w:rFonts w:ascii="Arial" w:hAnsi="Arial" w:cs="Arial"/>
          <w:bCs/>
          <w:sz w:val="24"/>
          <w:szCs w:val="24"/>
        </w:rPr>
        <w:t xml:space="preserve">, </w:t>
      </w:r>
      <w:r w:rsidRPr="009B096D">
        <w:rPr>
          <w:rFonts w:ascii="Arial" w:hAnsi="Arial" w:cs="Arial"/>
          <w:b/>
          <w:sz w:val="24"/>
          <w:szCs w:val="24"/>
        </w:rPr>
        <w:t>será un producto envasado en envase comercial</w:t>
      </w:r>
      <w:r w:rsidR="006A3310">
        <w:rPr>
          <w:rFonts w:ascii="Arial" w:hAnsi="Arial" w:cs="Arial"/>
          <w:bCs/>
          <w:sz w:val="24"/>
          <w:szCs w:val="24"/>
        </w:rPr>
        <w:t>.</w:t>
      </w:r>
    </w:p>
    <w:p w14:paraId="17AA8D56" w14:textId="32F1AD90" w:rsidR="00554819" w:rsidRPr="00EC4542" w:rsidRDefault="00554819" w:rsidP="006A3310">
      <w:pPr>
        <w:pStyle w:val="Prrafodelista"/>
        <w:autoSpaceDE w:val="0"/>
        <w:autoSpaceDN w:val="0"/>
        <w:adjustRightInd w:val="0"/>
        <w:spacing w:after="240" w:line="259" w:lineRule="auto"/>
        <w:ind w:left="419"/>
        <w:contextualSpacing w:val="0"/>
        <w:jc w:val="both"/>
        <w:rPr>
          <w:rFonts w:ascii="Arial" w:hAnsi="Arial" w:cs="Arial"/>
          <w:bCs/>
          <w:i/>
          <w:iCs/>
          <w:sz w:val="24"/>
          <w:szCs w:val="24"/>
        </w:rPr>
      </w:pPr>
      <w:r w:rsidRPr="00EC4542">
        <w:rPr>
          <w:rFonts w:ascii="Arial" w:hAnsi="Arial" w:cs="Arial"/>
          <w:bCs/>
          <w:i/>
          <w:iCs/>
          <w:sz w:val="24"/>
          <w:szCs w:val="24"/>
        </w:rPr>
        <w:t xml:space="preserve">Ejemplo: una botella de vidrio </w:t>
      </w:r>
      <w:r w:rsidR="00AE4C71">
        <w:rPr>
          <w:rFonts w:ascii="Arial" w:hAnsi="Arial" w:cs="Arial"/>
          <w:bCs/>
          <w:i/>
          <w:iCs/>
          <w:sz w:val="24"/>
          <w:szCs w:val="24"/>
        </w:rPr>
        <w:t xml:space="preserve">de un solo uso </w:t>
      </w:r>
      <w:r w:rsidRPr="00EC4542">
        <w:rPr>
          <w:rFonts w:ascii="Arial" w:hAnsi="Arial" w:cs="Arial"/>
          <w:bCs/>
          <w:i/>
          <w:iCs/>
          <w:sz w:val="24"/>
          <w:szCs w:val="24"/>
        </w:rPr>
        <w:t>de 1</w:t>
      </w:r>
      <w:r w:rsidR="00CF667C">
        <w:rPr>
          <w:rFonts w:ascii="Arial" w:hAnsi="Arial" w:cs="Arial"/>
          <w:bCs/>
          <w:i/>
          <w:iCs/>
          <w:sz w:val="24"/>
          <w:szCs w:val="24"/>
        </w:rPr>
        <w:t>0</w:t>
      </w:r>
      <w:r w:rsidRPr="00EC4542">
        <w:rPr>
          <w:rFonts w:ascii="Arial" w:hAnsi="Arial" w:cs="Arial"/>
          <w:bCs/>
          <w:i/>
          <w:iCs/>
          <w:sz w:val="24"/>
          <w:szCs w:val="24"/>
        </w:rPr>
        <w:t xml:space="preserve"> litro</w:t>
      </w:r>
      <w:r w:rsidR="00CF667C">
        <w:rPr>
          <w:rFonts w:ascii="Arial" w:hAnsi="Arial" w:cs="Arial"/>
          <w:bCs/>
          <w:i/>
          <w:iCs/>
          <w:sz w:val="24"/>
          <w:szCs w:val="24"/>
        </w:rPr>
        <w:t>s</w:t>
      </w:r>
      <w:r w:rsidRPr="00EC4542">
        <w:rPr>
          <w:rFonts w:ascii="Arial" w:hAnsi="Arial" w:cs="Arial"/>
          <w:bCs/>
          <w:i/>
          <w:iCs/>
          <w:sz w:val="24"/>
          <w:szCs w:val="24"/>
        </w:rPr>
        <w:t xml:space="preserve"> conteniendo </w:t>
      </w:r>
      <w:r w:rsidR="00CF667C">
        <w:rPr>
          <w:rFonts w:ascii="Arial" w:hAnsi="Arial" w:cs="Arial"/>
          <w:bCs/>
          <w:i/>
          <w:iCs/>
          <w:sz w:val="24"/>
          <w:szCs w:val="24"/>
        </w:rPr>
        <w:t>vino</w:t>
      </w:r>
      <w:r w:rsidRPr="00EC4542">
        <w:rPr>
          <w:rFonts w:ascii="Arial" w:hAnsi="Arial" w:cs="Arial"/>
          <w:bCs/>
          <w:i/>
          <w:iCs/>
          <w:sz w:val="24"/>
          <w:szCs w:val="24"/>
        </w:rPr>
        <w:t>, botella que únicamente se comercializa en el canal HORECA y que en ningún caso puede adquirirse en el comercio minorista.</w:t>
      </w:r>
      <w:r w:rsidR="00EC4542" w:rsidRPr="00EC4542">
        <w:rPr>
          <w:rFonts w:ascii="Arial" w:hAnsi="Arial" w:cs="Arial"/>
          <w:bCs/>
          <w:i/>
          <w:iCs/>
          <w:sz w:val="24"/>
          <w:szCs w:val="24"/>
        </w:rPr>
        <w:t xml:space="preserve"> </w:t>
      </w:r>
      <w:r w:rsidR="00EC4542">
        <w:rPr>
          <w:rFonts w:ascii="Arial" w:hAnsi="Arial" w:cs="Arial"/>
          <w:bCs/>
          <w:i/>
          <w:iCs/>
          <w:sz w:val="24"/>
          <w:szCs w:val="24"/>
        </w:rPr>
        <w:t xml:space="preserve">No </w:t>
      </w:r>
      <w:r w:rsidR="0060329B">
        <w:rPr>
          <w:rFonts w:ascii="Arial" w:hAnsi="Arial" w:cs="Arial"/>
          <w:bCs/>
          <w:i/>
          <w:iCs/>
          <w:sz w:val="24"/>
          <w:szCs w:val="24"/>
        </w:rPr>
        <w:t>obstante,</w:t>
      </w:r>
      <w:r w:rsidR="00EC4542">
        <w:rPr>
          <w:rFonts w:ascii="Arial" w:hAnsi="Arial" w:cs="Arial"/>
          <w:bCs/>
          <w:i/>
          <w:iCs/>
          <w:sz w:val="24"/>
          <w:szCs w:val="24"/>
        </w:rPr>
        <w:t xml:space="preserve"> si este mismo envase</w:t>
      </w:r>
      <w:r w:rsidR="006F3486">
        <w:rPr>
          <w:rFonts w:ascii="Arial" w:hAnsi="Arial" w:cs="Arial"/>
          <w:bCs/>
          <w:i/>
          <w:iCs/>
          <w:sz w:val="24"/>
          <w:szCs w:val="24"/>
        </w:rPr>
        <w:t xml:space="preserve"> (producto envasado)</w:t>
      </w:r>
      <w:r w:rsidR="00EC4542">
        <w:rPr>
          <w:rFonts w:ascii="Arial" w:hAnsi="Arial" w:cs="Arial"/>
          <w:bCs/>
          <w:i/>
          <w:iCs/>
          <w:sz w:val="24"/>
          <w:szCs w:val="24"/>
        </w:rPr>
        <w:t xml:space="preserve"> es susceptible de ser adquirido en comercios tipo “</w:t>
      </w:r>
      <w:r w:rsidR="00EC4542" w:rsidRPr="00EC4542">
        <w:rPr>
          <w:rFonts w:ascii="Arial" w:hAnsi="Arial" w:cs="Arial"/>
          <w:bCs/>
          <w:i/>
          <w:iCs/>
          <w:sz w:val="24"/>
          <w:szCs w:val="24"/>
        </w:rPr>
        <w:t>cash and carry</w:t>
      </w:r>
      <w:r w:rsidR="00EC4542">
        <w:rPr>
          <w:rFonts w:ascii="Arial" w:hAnsi="Arial" w:cs="Arial"/>
          <w:bCs/>
          <w:i/>
          <w:iCs/>
          <w:sz w:val="24"/>
          <w:szCs w:val="24"/>
        </w:rPr>
        <w:t xml:space="preserve">” cuya venta no es exclusiva y </w:t>
      </w:r>
      <w:r w:rsidR="0060329B">
        <w:rPr>
          <w:rFonts w:ascii="Arial" w:hAnsi="Arial" w:cs="Arial"/>
          <w:bCs/>
          <w:i/>
          <w:iCs/>
          <w:sz w:val="24"/>
          <w:szCs w:val="24"/>
        </w:rPr>
        <w:t>restringida</w:t>
      </w:r>
      <w:r w:rsidR="00EC4542">
        <w:rPr>
          <w:rFonts w:ascii="Arial" w:hAnsi="Arial" w:cs="Arial"/>
          <w:bCs/>
          <w:i/>
          <w:iCs/>
          <w:sz w:val="24"/>
          <w:szCs w:val="24"/>
        </w:rPr>
        <w:t xml:space="preserve"> a profesionales del sector HORECA, entonces tendrán la consideración de domésticos.</w:t>
      </w:r>
    </w:p>
    <w:p w14:paraId="2CC65FCE" w14:textId="77777777" w:rsidR="006F3486" w:rsidRDefault="00EC4542" w:rsidP="00024CC7">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En consecuencia, para determinar si un envase es doméstico o comercial, se debe tener en cuenta </w:t>
      </w:r>
      <w:r w:rsidR="0060329B">
        <w:rPr>
          <w:rFonts w:ascii="Arial" w:eastAsia="Calibri" w:hAnsi="Arial" w:cs="Arial"/>
          <w:bCs/>
          <w:sz w:val="24"/>
          <w:szCs w:val="24"/>
          <w:lang w:eastAsia="en-US"/>
        </w:rPr>
        <w:t>que,</w:t>
      </w:r>
      <w:r>
        <w:rPr>
          <w:rFonts w:ascii="Arial" w:eastAsia="Calibri" w:hAnsi="Arial" w:cs="Arial"/>
          <w:bCs/>
          <w:sz w:val="24"/>
          <w:szCs w:val="24"/>
          <w:lang w:eastAsia="en-US"/>
        </w:rPr>
        <w:t xml:space="preserve"> si su formato,</w:t>
      </w:r>
      <w:r w:rsidRPr="00EC4542">
        <w:rPr>
          <w:rFonts w:ascii="Arial" w:eastAsia="Calibri" w:hAnsi="Arial" w:cs="Arial"/>
          <w:bCs/>
          <w:sz w:val="24"/>
          <w:szCs w:val="24"/>
          <w:lang w:eastAsia="en-US"/>
        </w:rPr>
        <w:t xml:space="preserve"> tamaño</w:t>
      </w:r>
      <w:r>
        <w:rPr>
          <w:rFonts w:ascii="Arial" w:eastAsia="Calibri" w:hAnsi="Arial" w:cs="Arial"/>
          <w:bCs/>
          <w:sz w:val="24"/>
          <w:szCs w:val="24"/>
          <w:lang w:eastAsia="en-US"/>
        </w:rPr>
        <w:t>,</w:t>
      </w:r>
      <w:r w:rsidRPr="00EC4542">
        <w:rPr>
          <w:rFonts w:ascii="Arial" w:eastAsia="Calibri" w:hAnsi="Arial" w:cs="Arial"/>
          <w:bCs/>
          <w:sz w:val="24"/>
          <w:szCs w:val="24"/>
          <w:lang w:eastAsia="en-US"/>
        </w:rPr>
        <w:t xml:space="preserve"> gramaje</w:t>
      </w:r>
      <w:r>
        <w:rPr>
          <w:rFonts w:ascii="Arial" w:eastAsia="Calibri" w:hAnsi="Arial" w:cs="Arial"/>
          <w:bCs/>
          <w:sz w:val="24"/>
          <w:szCs w:val="24"/>
          <w:lang w:eastAsia="en-US"/>
        </w:rPr>
        <w:t xml:space="preserve"> y forma </w:t>
      </w:r>
      <w:r w:rsidR="008C1564">
        <w:rPr>
          <w:rFonts w:ascii="Arial" w:eastAsia="Calibri" w:hAnsi="Arial" w:cs="Arial"/>
          <w:bCs/>
          <w:sz w:val="24"/>
          <w:szCs w:val="24"/>
          <w:lang w:eastAsia="en-US"/>
        </w:rPr>
        <w:t>utilizado para la comercialización del producto en canal HORECA no difiere en esencia de aquel utilizado</w:t>
      </w:r>
      <w:r w:rsidR="008C1564" w:rsidRPr="008C1564">
        <w:rPr>
          <w:rFonts w:ascii="Arial" w:eastAsia="Calibri" w:hAnsi="Arial" w:cs="Arial"/>
          <w:bCs/>
          <w:sz w:val="24"/>
          <w:szCs w:val="24"/>
          <w:lang w:eastAsia="en-US"/>
        </w:rPr>
        <w:t xml:space="preserve"> para </w:t>
      </w:r>
      <w:r w:rsidR="008C1564">
        <w:rPr>
          <w:rFonts w:ascii="Arial" w:eastAsia="Calibri" w:hAnsi="Arial" w:cs="Arial"/>
          <w:bCs/>
          <w:sz w:val="24"/>
          <w:szCs w:val="24"/>
          <w:lang w:eastAsia="en-US"/>
        </w:rPr>
        <w:t xml:space="preserve">la </w:t>
      </w:r>
      <w:r w:rsidR="008C1564" w:rsidRPr="008C1564">
        <w:rPr>
          <w:rFonts w:ascii="Arial" w:eastAsia="Calibri" w:hAnsi="Arial" w:cs="Arial"/>
          <w:bCs/>
          <w:sz w:val="24"/>
          <w:szCs w:val="24"/>
          <w:lang w:eastAsia="en-US"/>
        </w:rPr>
        <w:t>venta en canales minoristas</w:t>
      </w:r>
      <w:r w:rsidR="008C1564">
        <w:rPr>
          <w:rFonts w:ascii="Arial" w:eastAsia="Calibri" w:hAnsi="Arial" w:cs="Arial"/>
          <w:bCs/>
          <w:sz w:val="24"/>
          <w:szCs w:val="24"/>
          <w:lang w:eastAsia="en-US"/>
        </w:rPr>
        <w:t>, entonces tendrá la consideración de doméstico</w:t>
      </w:r>
      <w:r w:rsidR="0060329B">
        <w:rPr>
          <w:rFonts w:ascii="Arial" w:eastAsia="Calibri" w:hAnsi="Arial" w:cs="Arial"/>
          <w:bCs/>
          <w:sz w:val="24"/>
          <w:szCs w:val="24"/>
          <w:lang w:eastAsia="en-US"/>
        </w:rPr>
        <w:t>.</w:t>
      </w:r>
    </w:p>
    <w:p w14:paraId="034AEFDE" w14:textId="4921B36E" w:rsidR="00301790" w:rsidRDefault="00301790" w:rsidP="0060757A">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 xml:space="preserve">De igual forma, tendrá la consideración de envase comercial aquel cuyo </w:t>
      </w:r>
      <w:r w:rsidRPr="00301790">
        <w:rPr>
          <w:rFonts w:ascii="Arial" w:hAnsi="Arial" w:cs="Arial"/>
          <w:iCs/>
          <w:color w:val="000000"/>
          <w:sz w:val="24"/>
          <w:szCs w:val="24"/>
          <w:lang w:eastAsia="en-US"/>
        </w:rPr>
        <w:t xml:space="preserve">formato, tamaño, gramaje y forma </w:t>
      </w:r>
      <w:r>
        <w:rPr>
          <w:rFonts w:ascii="Arial" w:hAnsi="Arial" w:cs="Arial"/>
          <w:iCs/>
          <w:color w:val="000000"/>
          <w:sz w:val="24"/>
          <w:szCs w:val="24"/>
          <w:lang w:eastAsia="en-US"/>
        </w:rPr>
        <w:t xml:space="preserve">sea exclusivo e inequívoco para la comercialización del producto en </w:t>
      </w:r>
      <w:r w:rsidR="00E04ECF">
        <w:rPr>
          <w:rFonts w:ascii="Arial" w:hAnsi="Arial" w:cs="Arial"/>
          <w:iCs/>
          <w:color w:val="000000"/>
          <w:sz w:val="24"/>
          <w:szCs w:val="24"/>
          <w:lang w:eastAsia="en-US"/>
        </w:rPr>
        <w:t xml:space="preserve">el </w:t>
      </w:r>
      <w:r>
        <w:rPr>
          <w:rFonts w:ascii="Arial" w:hAnsi="Arial" w:cs="Arial"/>
          <w:iCs/>
          <w:color w:val="000000"/>
          <w:sz w:val="24"/>
          <w:szCs w:val="24"/>
          <w:lang w:eastAsia="en-US"/>
        </w:rPr>
        <w:t xml:space="preserve">canal HORECA, y </w:t>
      </w:r>
      <w:r w:rsidR="00E35A60">
        <w:rPr>
          <w:rFonts w:ascii="Arial" w:hAnsi="Arial" w:cs="Arial"/>
          <w:iCs/>
          <w:color w:val="000000"/>
          <w:sz w:val="24"/>
          <w:szCs w:val="24"/>
          <w:lang w:eastAsia="en-US"/>
        </w:rPr>
        <w:t>no exista</w:t>
      </w:r>
      <w:r w:rsidRPr="00301790">
        <w:rPr>
          <w:rFonts w:ascii="Arial" w:hAnsi="Arial" w:cs="Arial"/>
          <w:iCs/>
          <w:color w:val="000000"/>
          <w:sz w:val="24"/>
          <w:szCs w:val="24"/>
          <w:lang w:eastAsia="en-US"/>
        </w:rPr>
        <w:t xml:space="preserve"> </w:t>
      </w:r>
      <w:r>
        <w:rPr>
          <w:rFonts w:ascii="Arial" w:hAnsi="Arial" w:cs="Arial"/>
          <w:iCs/>
          <w:color w:val="000000"/>
          <w:sz w:val="24"/>
          <w:szCs w:val="24"/>
          <w:lang w:eastAsia="en-US"/>
        </w:rPr>
        <w:t xml:space="preserve">posibilidad de ser adquirido </w:t>
      </w:r>
      <w:r w:rsidRPr="00301790">
        <w:rPr>
          <w:rFonts w:ascii="Arial" w:hAnsi="Arial" w:cs="Arial"/>
          <w:iCs/>
          <w:color w:val="000000"/>
          <w:sz w:val="24"/>
          <w:szCs w:val="24"/>
          <w:lang w:eastAsia="en-US"/>
        </w:rPr>
        <w:t>por el consumidor en los comercios</w:t>
      </w:r>
      <w:r w:rsidR="00AA19D7">
        <w:rPr>
          <w:rFonts w:ascii="Arial" w:hAnsi="Arial" w:cs="Arial"/>
          <w:iCs/>
          <w:color w:val="000000"/>
          <w:sz w:val="24"/>
          <w:szCs w:val="24"/>
          <w:lang w:eastAsia="en-US"/>
        </w:rPr>
        <w:t>.</w:t>
      </w:r>
    </w:p>
    <w:p w14:paraId="2423E94E" w14:textId="3EFCEE67" w:rsidR="00EC4542" w:rsidRDefault="001B171E" w:rsidP="0060757A">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 xml:space="preserve">Otra casuística particular, la encontramos con los </w:t>
      </w:r>
      <w:r w:rsidRPr="00EF0848">
        <w:rPr>
          <w:rFonts w:ascii="Arial" w:hAnsi="Arial" w:cs="Arial"/>
          <w:b/>
          <w:bCs/>
          <w:iCs/>
          <w:color w:val="000000"/>
          <w:sz w:val="24"/>
          <w:szCs w:val="24"/>
          <w:lang w:eastAsia="en-US"/>
        </w:rPr>
        <w:t>envases</w:t>
      </w:r>
      <w:r w:rsidR="00EF0848" w:rsidRPr="00EF0848">
        <w:rPr>
          <w:rFonts w:ascii="Arial" w:hAnsi="Arial" w:cs="Arial"/>
          <w:b/>
          <w:bCs/>
          <w:iCs/>
          <w:color w:val="000000"/>
          <w:sz w:val="24"/>
          <w:szCs w:val="24"/>
          <w:lang w:eastAsia="en-US"/>
        </w:rPr>
        <w:t xml:space="preserve"> de medicamentos</w:t>
      </w:r>
      <w:r w:rsidR="00EF0848">
        <w:rPr>
          <w:rFonts w:ascii="Arial" w:hAnsi="Arial" w:cs="Arial"/>
          <w:iCs/>
          <w:color w:val="000000"/>
          <w:sz w:val="24"/>
          <w:szCs w:val="24"/>
          <w:lang w:eastAsia="en-US"/>
        </w:rPr>
        <w:t xml:space="preserve">. En este sentido, </w:t>
      </w:r>
      <w:r w:rsidR="00EF0848" w:rsidRPr="007B1186">
        <w:rPr>
          <w:rFonts w:ascii="Arial" w:hAnsi="Arial" w:cs="Arial"/>
          <w:iCs/>
          <w:color w:val="000000"/>
          <w:sz w:val="24"/>
          <w:szCs w:val="24"/>
          <w:u w:val="single"/>
          <w:lang w:eastAsia="en-US"/>
        </w:rPr>
        <w:t xml:space="preserve">aquellos envases que puedan ser adquiridos por los usuarios en las oficinas de farmacia tendrán la consideración de domésticos, independientemente de si estos </w:t>
      </w:r>
      <w:r w:rsidR="007B1186" w:rsidRPr="007B1186">
        <w:rPr>
          <w:rFonts w:ascii="Arial" w:hAnsi="Arial" w:cs="Arial"/>
          <w:iCs/>
          <w:color w:val="000000"/>
          <w:sz w:val="24"/>
          <w:szCs w:val="24"/>
          <w:u w:val="single"/>
          <w:lang w:eastAsia="en-US"/>
        </w:rPr>
        <w:t xml:space="preserve">mismos </w:t>
      </w:r>
      <w:r w:rsidR="00EF0848" w:rsidRPr="007B1186">
        <w:rPr>
          <w:rFonts w:ascii="Arial" w:hAnsi="Arial" w:cs="Arial"/>
          <w:iCs/>
          <w:color w:val="000000"/>
          <w:sz w:val="24"/>
          <w:szCs w:val="24"/>
          <w:u w:val="single"/>
          <w:lang w:eastAsia="en-US"/>
        </w:rPr>
        <w:t xml:space="preserve">envases también se dispensan </w:t>
      </w:r>
      <w:r w:rsidR="007B1186" w:rsidRPr="007B1186">
        <w:rPr>
          <w:rFonts w:ascii="Arial" w:hAnsi="Arial" w:cs="Arial"/>
          <w:iCs/>
          <w:color w:val="000000"/>
          <w:sz w:val="24"/>
          <w:szCs w:val="24"/>
          <w:u w:val="single"/>
          <w:lang w:eastAsia="en-US"/>
        </w:rPr>
        <w:t>a</w:t>
      </w:r>
      <w:r w:rsidR="00EF0848" w:rsidRPr="007B1186">
        <w:rPr>
          <w:rFonts w:ascii="Arial" w:hAnsi="Arial" w:cs="Arial"/>
          <w:iCs/>
          <w:color w:val="000000"/>
          <w:sz w:val="24"/>
          <w:szCs w:val="24"/>
          <w:u w:val="single"/>
          <w:lang w:eastAsia="en-US"/>
        </w:rPr>
        <w:t xml:space="preserve"> hospitales y establecimientos sanitarios</w:t>
      </w:r>
      <w:r w:rsidR="00EF0848">
        <w:rPr>
          <w:rFonts w:ascii="Arial" w:hAnsi="Arial" w:cs="Arial"/>
          <w:iCs/>
          <w:color w:val="000000"/>
          <w:sz w:val="24"/>
          <w:szCs w:val="24"/>
          <w:lang w:eastAsia="en-US"/>
        </w:rPr>
        <w:t xml:space="preserve"> (canal comercial).</w:t>
      </w:r>
    </w:p>
    <w:p w14:paraId="206B9E91" w14:textId="102D5E77" w:rsidR="00EF0848" w:rsidRDefault="00EF0848" w:rsidP="0060757A">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 xml:space="preserve">En consecuencia, </w:t>
      </w:r>
      <w:r w:rsidR="00DF5A89">
        <w:rPr>
          <w:rFonts w:ascii="Arial" w:hAnsi="Arial" w:cs="Arial"/>
          <w:iCs/>
          <w:color w:val="000000"/>
          <w:sz w:val="24"/>
          <w:szCs w:val="24"/>
          <w:lang w:eastAsia="en-US"/>
        </w:rPr>
        <w:t xml:space="preserve">para considerar un envase de medicamento como comercial </w:t>
      </w:r>
      <w:r w:rsidR="00CF5DEE">
        <w:rPr>
          <w:rFonts w:ascii="Arial" w:hAnsi="Arial" w:cs="Arial"/>
          <w:iCs/>
          <w:color w:val="000000"/>
          <w:sz w:val="24"/>
          <w:szCs w:val="24"/>
          <w:lang w:eastAsia="en-US"/>
        </w:rPr>
        <w:t>é</w:t>
      </w:r>
      <w:r w:rsidR="00DF5A89">
        <w:rPr>
          <w:rFonts w:ascii="Arial" w:hAnsi="Arial" w:cs="Arial"/>
          <w:iCs/>
          <w:color w:val="000000"/>
          <w:sz w:val="24"/>
          <w:szCs w:val="24"/>
          <w:lang w:eastAsia="en-US"/>
        </w:rPr>
        <w:t xml:space="preserve">ste se debería </w:t>
      </w:r>
      <w:r w:rsidR="007B1186">
        <w:rPr>
          <w:rFonts w:ascii="Arial" w:hAnsi="Arial" w:cs="Arial"/>
          <w:iCs/>
          <w:color w:val="000000"/>
          <w:sz w:val="24"/>
          <w:szCs w:val="24"/>
          <w:lang w:eastAsia="en-US"/>
        </w:rPr>
        <w:t>distribuir a</w:t>
      </w:r>
      <w:r w:rsidR="00DF5A89" w:rsidRPr="00DF5A89">
        <w:rPr>
          <w:rFonts w:ascii="Arial" w:hAnsi="Arial" w:cs="Arial"/>
          <w:iCs/>
          <w:color w:val="000000"/>
          <w:sz w:val="24"/>
          <w:szCs w:val="24"/>
          <w:lang w:eastAsia="en-US"/>
        </w:rPr>
        <w:t xml:space="preserve"> hospitales y establecimientos</w:t>
      </w:r>
      <w:r w:rsidR="00DF5A89">
        <w:rPr>
          <w:rFonts w:ascii="Arial" w:hAnsi="Arial" w:cs="Arial"/>
          <w:iCs/>
          <w:color w:val="000000"/>
          <w:sz w:val="24"/>
          <w:szCs w:val="24"/>
          <w:lang w:eastAsia="en-US"/>
        </w:rPr>
        <w:t xml:space="preserve"> sanitarios </w:t>
      </w:r>
      <w:r w:rsidR="00172088">
        <w:rPr>
          <w:rFonts w:ascii="Arial" w:hAnsi="Arial" w:cs="Arial"/>
          <w:iCs/>
          <w:color w:val="000000"/>
          <w:sz w:val="24"/>
          <w:szCs w:val="24"/>
          <w:lang w:eastAsia="en-US"/>
        </w:rPr>
        <w:t xml:space="preserve">bien </w:t>
      </w:r>
      <w:r w:rsidR="00DF5A89">
        <w:rPr>
          <w:rFonts w:ascii="Arial" w:hAnsi="Arial" w:cs="Arial"/>
          <w:iCs/>
          <w:color w:val="000000"/>
          <w:sz w:val="24"/>
          <w:szCs w:val="24"/>
          <w:lang w:eastAsia="en-US"/>
        </w:rPr>
        <w:t>en formatos específicos e inequívocos para este canal</w:t>
      </w:r>
      <w:r w:rsidR="00CF5DEE">
        <w:rPr>
          <w:rFonts w:ascii="Arial" w:hAnsi="Arial" w:cs="Arial"/>
          <w:iCs/>
          <w:color w:val="000000"/>
          <w:sz w:val="24"/>
          <w:szCs w:val="24"/>
          <w:lang w:eastAsia="en-US"/>
        </w:rPr>
        <w:t>.</w:t>
      </w:r>
    </w:p>
    <w:p w14:paraId="25B384A6" w14:textId="211C21DC" w:rsidR="007B1186" w:rsidRDefault="00DF5A89" w:rsidP="0060757A">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 xml:space="preserve">No obstante lo anterior, ello no excluye para que en virtud de lo establecido en la DA 1ª del RDERE estos envases de medicamentos </w:t>
      </w:r>
      <w:r w:rsidR="007B1186">
        <w:rPr>
          <w:rFonts w:ascii="Arial" w:hAnsi="Arial" w:cs="Arial"/>
          <w:iCs/>
          <w:color w:val="000000"/>
          <w:sz w:val="24"/>
          <w:szCs w:val="24"/>
          <w:lang w:eastAsia="en-US"/>
        </w:rPr>
        <w:t xml:space="preserve">de carácter </w:t>
      </w:r>
      <w:r>
        <w:rPr>
          <w:rFonts w:ascii="Arial" w:hAnsi="Arial" w:cs="Arial"/>
          <w:iCs/>
          <w:color w:val="000000"/>
          <w:sz w:val="24"/>
          <w:szCs w:val="24"/>
          <w:lang w:eastAsia="en-US"/>
        </w:rPr>
        <w:t xml:space="preserve">doméstico puedan </w:t>
      </w:r>
      <w:r w:rsidRPr="00DF5A89">
        <w:rPr>
          <w:rFonts w:ascii="Arial" w:hAnsi="Arial" w:cs="Arial"/>
          <w:iCs/>
          <w:color w:val="000000"/>
          <w:sz w:val="24"/>
          <w:szCs w:val="24"/>
          <w:lang w:eastAsia="en-US"/>
        </w:rPr>
        <w:t>ser entregados y recogidos a través de los mismos canales utilizados para su distribución</w:t>
      </w:r>
      <w:r w:rsidR="007B1186">
        <w:rPr>
          <w:rFonts w:ascii="Arial" w:hAnsi="Arial" w:cs="Arial"/>
          <w:iCs/>
          <w:color w:val="000000"/>
          <w:sz w:val="24"/>
          <w:szCs w:val="24"/>
          <w:lang w:eastAsia="en-US"/>
        </w:rPr>
        <w:t>, esto es, hospitales y establecimientos sanitarios, pudiendo llegar los sistemas de responsabilidad ampliada del producto</w:t>
      </w:r>
      <w:r w:rsidR="00E35A60">
        <w:rPr>
          <w:rFonts w:ascii="Arial" w:hAnsi="Arial" w:cs="Arial"/>
          <w:iCs/>
          <w:color w:val="000000"/>
          <w:sz w:val="24"/>
          <w:szCs w:val="24"/>
          <w:lang w:eastAsia="en-US"/>
        </w:rPr>
        <w:t>r</w:t>
      </w:r>
      <w:r w:rsidR="007B1186">
        <w:rPr>
          <w:rFonts w:ascii="Arial" w:hAnsi="Arial" w:cs="Arial"/>
          <w:iCs/>
          <w:color w:val="000000"/>
          <w:sz w:val="24"/>
          <w:szCs w:val="24"/>
          <w:lang w:eastAsia="en-US"/>
        </w:rPr>
        <w:t xml:space="preserve"> a los acuerdos que sean necesarios para garantizar </w:t>
      </w:r>
      <w:r w:rsidR="007B1186" w:rsidRPr="007B1186">
        <w:rPr>
          <w:rFonts w:ascii="Arial" w:hAnsi="Arial" w:cs="Arial"/>
          <w:iCs/>
          <w:color w:val="000000"/>
          <w:sz w:val="24"/>
          <w:szCs w:val="24"/>
          <w:lang w:eastAsia="en-US"/>
        </w:rPr>
        <w:t xml:space="preserve">la financiación y la organización de la gestión </w:t>
      </w:r>
      <w:r w:rsidR="007B1186">
        <w:rPr>
          <w:rFonts w:ascii="Arial" w:hAnsi="Arial" w:cs="Arial"/>
          <w:iCs/>
          <w:color w:val="000000"/>
          <w:sz w:val="24"/>
          <w:szCs w:val="24"/>
          <w:lang w:eastAsia="en-US"/>
        </w:rPr>
        <w:t xml:space="preserve">de los residuos de envases domésticos a través del </w:t>
      </w:r>
      <w:r w:rsidR="00CF5DEE">
        <w:rPr>
          <w:rFonts w:ascii="Arial" w:hAnsi="Arial" w:cs="Arial"/>
          <w:iCs/>
          <w:color w:val="000000"/>
          <w:sz w:val="24"/>
          <w:szCs w:val="24"/>
          <w:lang w:eastAsia="en-US"/>
        </w:rPr>
        <w:t>circuito</w:t>
      </w:r>
      <w:r w:rsidR="007B1186">
        <w:rPr>
          <w:rFonts w:ascii="Arial" w:hAnsi="Arial" w:cs="Arial"/>
          <w:iCs/>
          <w:color w:val="000000"/>
          <w:sz w:val="24"/>
          <w:szCs w:val="24"/>
          <w:lang w:eastAsia="en-US"/>
        </w:rPr>
        <w:t xml:space="preserve"> comercial, si ello fuera necesario</w:t>
      </w:r>
      <w:r w:rsidR="007D3543">
        <w:rPr>
          <w:rFonts w:ascii="Arial" w:hAnsi="Arial" w:cs="Arial"/>
          <w:iCs/>
          <w:color w:val="000000"/>
          <w:sz w:val="24"/>
          <w:szCs w:val="24"/>
          <w:lang w:eastAsia="en-US"/>
        </w:rPr>
        <w:t xml:space="preserve">. </w:t>
      </w:r>
      <w:r w:rsidR="00CF5DEE">
        <w:rPr>
          <w:rFonts w:ascii="Arial" w:hAnsi="Arial" w:cs="Arial"/>
          <w:iCs/>
          <w:color w:val="000000"/>
          <w:sz w:val="24"/>
          <w:szCs w:val="24"/>
          <w:lang w:eastAsia="en-US"/>
        </w:rPr>
        <w:t>Asimismo</w:t>
      </w:r>
      <w:r w:rsidR="007D3543">
        <w:rPr>
          <w:rFonts w:ascii="Arial" w:hAnsi="Arial" w:cs="Arial"/>
          <w:iCs/>
          <w:color w:val="000000"/>
          <w:sz w:val="24"/>
          <w:szCs w:val="24"/>
          <w:lang w:eastAsia="en-US"/>
        </w:rPr>
        <w:t xml:space="preserve">, nada impediría a dichos sistemas de RAP establecer sus propios canales de recogida en </w:t>
      </w:r>
      <w:r w:rsidR="007D3543" w:rsidRPr="007D3543">
        <w:rPr>
          <w:rFonts w:ascii="Arial" w:hAnsi="Arial" w:cs="Arial"/>
          <w:iCs/>
          <w:color w:val="000000"/>
          <w:sz w:val="24"/>
          <w:szCs w:val="24"/>
          <w:lang w:eastAsia="en-US"/>
        </w:rPr>
        <w:t>hospitales y establecimientos sanitarios</w:t>
      </w:r>
      <w:r w:rsidR="00CF5DEE">
        <w:rPr>
          <w:rFonts w:ascii="Arial" w:hAnsi="Arial" w:cs="Arial"/>
          <w:iCs/>
          <w:color w:val="000000"/>
          <w:sz w:val="24"/>
          <w:szCs w:val="24"/>
          <w:lang w:eastAsia="en-US"/>
        </w:rPr>
        <w:t xml:space="preserve"> si fuera el caso</w:t>
      </w:r>
      <w:r w:rsidR="007D3543">
        <w:rPr>
          <w:rFonts w:ascii="Arial" w:hAnsi="Arial" w:cs="Arial"/>
          <w:iCs/>
          <w:color w:val="000000"/>
          <w:sz w:val="24"/>
          <w:szCs w:val="24"/>
          <w:lang w:eastAsia="en-US"/>
        </w:rPr>
        <w:t>.</w:t>
      </w:r>
    </w:p>
    <w:p w14:paraId="40586F62" w14:textId="7F6B31E5" w:rsidR="00FD25A7" w:rsidRPr="00016909" w:rsidRDefault="00FD25A7" w:rsidP="00FD25A7">
      <w:pPr>
        <w:spacing w:after="240" w:line="259" w:lineRule="auto"/>
        <w:jc w:val="both"/>
        <w:rPr>
          <w:rFonts w:ascii="Arial" w:eastAsia="Calibri" w:hAnsi="Arial" w:cs="Arial"/>
          <w:b/>
          <w:i/>
          <w:iCs/>
          <w:sz w:val="24"/>
          <w:szCs w:val="24"/>
          <w:lang w:eastAsia="en-US"/>
        </w:rPr>
      </w:pPr>
      <w:r w:rsidRPr="00016909">
        <w:rPr>
          <w:rFonts w:ascii="Arial" w:eastAsia="Calibri" w:hAnsi="Arial" w:cs="Arial"/>
          <w:b/>
          <w:i/>
          <w:iCs/>
          <w:sz w:val="24"/>
          <w:szCs w:val="24"/>
          <w:lang w:eastAsia="en-US"/>
        </w:rPr>
        <w:t>2.</w:t>
      </w:r>
      <w:r>
        <w:rPr>
          <w:rFonts w:ascii="Arial" w:eastAsia="Calibri" w:hAnsi="Arial" w:cs="Arial"/>
          <w:b/>
          <w:i/>
          <w:iCs/>
          <w:sz w:val="24"/>
          <w:szCs w:val="24"/>
          <w:lang w:eastAsia="en-US"/>
        </w:rPr>
        <w:t>2</w:t>
      </w:r>
      <w:r w:rsidRPr="00016909">
        <w:rPr>
          <w:rFonts w:ascii="Arial" w:eastAsia="Calibri" w:hAnsi="Arial" w:cs="Arial"/>
          <w:b/>
          <w:i/>
          <w:iCs/>
          <w:sz w:val="24"/>
          <w:szCs w:val="24"/>
          <w:lang w:eastAsia="en-US"/>
        </w:rPr>
        <w:t xml:space="preserve"> Envase doméstico vs envase </w:t>
      </w:r>
      <w:r>
        <w:rPr>
          <w:rFonts w:ascii="Arial" w:eastAsia="Calibri" w:hAnsi="Arial" w:cs="Arial"/>
          <w:b/>
          <w:i/>
          <w:iCs/>
          <w:sz w:val="24"/>
          <w:szCs w:val="24"/>
          <w:lang w:eastAsia="en-US"/>
        </w:rPr>
        <w:t>industrial</w:t>
      </w:r>
    </w:p>
    <w:p w14:paraId="1BB5C66A" w14:textId="6D12F15D" w:rsidR="00FD25A7" w:rsidRDefault="00FD25A7" w:rsidP="00FD25A7">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Tendrán la consideración de envase industrial, aquellos que, </w:t>
      </w:r>
      <w:r w:rsidRPr="00E04ECF">
        <w:rPr>
          <w:rFonts w:ascii="Arial" w:eastAsia="Calibri" w:hAnsi="Arial" w:cs="Arial"/>
          <w:bCs/>
          <w:sz w:val="24"/>
          <w:szCs w:val="24"/>
          <w:lang w:eastAsia="en-US"/>
        </w:rPr>
        <w:t>sin tener la consideración de doméstico</w:t>
      </w:r>
      <w:r>
        <w:rPr>
          <w:rFonts w:ascii="Arial" w:eastAsia="Calibri" w:hAnsi="Arial" w:cs="Arial"/>
          <w:bCs/>
          <w:sz w:val="24"/>
          <w:szCs w:val="24"/>
          <w:lang w:eastAsia="en-US"/>
        </w:rPr>
        <w:t xml:space="preserve"> o comercial</w:t>
      </w:r>
      <w:r w:rsidRPr="00E04ECF">
        <w:rPr>
          <w:rFonts w:ascii="Arial" w:eastAsia="Calibri" w:hAnsi="Arial" w:cs="Arial"/>
          <w:bCs/>
          <w:sz w:val="24"/>
          <w:szCs w:val="24"/>
          <w:lang w:eastAsia="en-US"/>
        </w:rPr>
        <w:t>, est</w:t>
      </w:r>
      <w:r>
        <w:rPr>
          <w:rFonts w:ascii="Arial" w:eastAsia="Calibri" w:hAnsi="Arial" w:cs="Arial"/>
          <w:bCs/>
          <w:sz w:val="24"/>
          <w:szCs w:val="24"/>
          <w:lang w:eastAsia="en-US"/>
        </w:rPr>
        <w:t>én</w:t>
      </w:r>
      <w:r w:rsidRPr="00E04ECF">
        <w:rPr>
          <w:rFonts w:ascii="Arial" w:eastAsia="Calibri" w:hAnsi="Arial" w:cs="Arial"/>
          <w:bCs/>
          <w:sz w:val="24"/>
          <w:szCs w:val="24"/>
          <w:lang w:eastAsia="en-US"/>
        </w:rPr>
        <w:t xml:space="preserve"> destinado </w:t>
      </w:r>
      <w:r w:rsidRPr="00FD25A7">
        <w:rPr>
          <w:rFonts w:ascii="Arial" w:eastAsia="Calibri" w:hAnsi="Arial" w:cs="Arial"/>
          <w:bCs/>
          <w:sz w:val="24"/>
          <w:szCs w:val="24"/>
          <w:lang w:eastAsia="en-US"/>
        </w:rPr>
        <w:t>al uso y consumo propio del ejercicio de la actividad económica de las industrias, explotaciones agrícolas, ganaderas, forestales o acuícolas</w:t>
      </w:r>
      <w:r>
        <w:rPr>
          <w:rFonts w:ascii="Arial" w:eastAsia="Calibri" w:hAnsi="Arial" w:cs="Arial"/>
          <w:bCs/>
          <w:sz w:val="24"/>
          <w:szCs w:val="24"/>
          <w:lang w:eastAsia="en-US"/>
        </w:rPr>
        <w:t>.</w:t>
      </w:r>
    </w:p>
    <w:p w14:paraId="13AACF0A" w14:textId="43FF20F4" w:rsidR="00E14F93" w:rsidRDefault="00E14F93" w:rsidP="0060757A">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En consecuencia, para tener la consideración de envase industrial no puede estar incluido en cualquiera de las dos categorías anteriores</w:t>
      </w:r>
      <w:r w:rsidR="00B32FF2">
        <w:rPr>
          <w:rFonts w:ascii="Arial" w:hAnsi="Arial" w:cs="Arial"/>
          <w:iCs/>
          <w:color w:val="000000"/>
          <w:sz w:val="24"/>
          <w:szCs w:val="24"/>
          <w:lang w:eastAsia="en-US"/>
        </w:rPr>
        <w:t xml:space="preserve"> (doméstico o comercial)</w:t>
      </w:r>
      <w:r>
        <w:rPr>
          <w:rFonts w:ascii="Arial" w:hAnsi="Arial" w:cs="Arial"/>
          <w:iCs/>
          <w:color w:val="000000"/>
          <w:sz w:val="24"/>
          <w:szCs w:val="24"/>
          <w:lang w:eastAsia="en-US"/>
        </w:rPr>
        <w:t>.</w:t>
      </w:r>
      <w:r w:rsidR="00460E45">
        <w:rPr>
          <w:rFonts w:ascii="Arial" w:hAnsi="Arial" w:cs="Arial"/>
          <w:iCs/>
          <w:color w:val="000000"/>
          <w:sz w:val="24"/>
          <w:szCs w:val="24"/>
          <w:lang w:eastAsia="en-US"/>
        </w:rPr>
        <w:t xml:space="preserve"> Por tanto</w:t>
      </w:r>
      <w:r w:rsidR="006F3486">
        <w:rPr>
          <w:rFonts w:ascii="Arial" w:hAnsi="Arial" w:cs="Arial"/>
          <w:iCs/>
          <w:color w:val="000000"/>
          <w:sz w:val="24"/>
          <w:szCs w:val="24"/>
          <w:lang w:eastAsia="en-US"/>
        </w:rPr>
        <w:t>,</w:t>
      </w:r>
      <w:r w:rsidR="00460E45">
        <w:rPr>
          <w:rFonts w:ascii="Arial" w:hAnsi="Arial" w:cs="Arial"/>
          <w:iCs/>
          <w:color w:val="000000"/>
          <w:sz w:val="24"/>
          <w:szCs w:val="24"/>
          <w:lang w:eastAsia="en-US"/>
        </w:rPr>
        <w:t xml:space="preserve"> esta </w:t>
      </w:r>
      <w:r w:rsidR="00460E45" w:rsidRPr="00460E45">
        <w:rPr>
          <w:rFonts w:ascii="Arial" w:hAnsi="Arial" w:cs="Arial"/>
          <w:iCs/>
          <w:color w:val="000000"/>
          <w:sz w:val="24"/>
          <w:szCs w:val="24"/>
          <w:lang w:eastAsia="en-US"/>
        </w:rPr>
        <w:t>SG entiende que</w:t>
      </w:r>
      <w:r w:rsidR="00460E45">
        <w:rPr>
          <w:rFonts w:ascii="Arial" w:hAnsi="Arial" w:cs="Arial"/>
          <w:iCs/>
          <w:color w:val="000000"/>
          <w:sz w:val="24"/>
          <w:szCs w:val="24"/>
          <w:lang w:eastAsia="en-US"/>
        </w:rPr>
        <w:t>:</w:t>
      </w:r>
    </w:p>
    <w:p w14:paraId="5D3550B5" w14:textId="6F4C5E66" w:rsidR="00E14F93" w:rsidRDefault="001C252A" w:rsidP="006F3486">
      <w:pPr>
        <w:pStyle w:val="Prrafodelista"/>
        <w:numPr>
          <w:ilvl w:val="0"/>
          <w:numId w:val="18"/>
        </w:numPr>
        <w:autoSpaceDE w:val="0"/>
        <w:autoSpaceDN w:val="0"/>
        <w:adjustRightInd w:val="0"/>
        <w:spacing w:after="240" w:line="259" w:lineRule="auto"/>
        <w:contextualSpacing w:val="0"/>
        <w:jc w:val="both"/>
        <w:rPr>
          <w:rFonts w:ascii="Arial" w:hAnsi="Arial" w:cs="Arial"/>
          <w:iCs/>
          <w:color w:val="000000"/>
          <w:sz w:val="24"/>
          <w:szCs w:val="24"/>
        </w:rPr>
      </w:pPr>
      <w:r>
        <w:rPr>
          <w:rFonts w:ascii="Arial" w:hAnsi="Arial" w:cs="Arial"/>
          <w:iCs/>
          <w:color w:val="000000"/>
          <w:sz w:val="24"/>
          <w:szCs w:val="24"/>
        </w:rPr>
        <w:t>Aquel</w:t>
      </w:r>
      <w:r w:rsidR="00E14F93" w:rsidRPr="00E14F93">
        <w:rPr>
          <w:rFonts w:ascii="Arial" w:hAnsi="Arial" w:cs="Arial"/>
          <w:iCs/>
          <w:color w:val="000000"/>
          <w:sz w:val="24"/>
          <w:szCs w:val="24"/>
        </w:rPr>
        <w:t xml:space="preserve"> producto envasado destinado al </w:t>
      </w:r>
      <w:r w:rsidR="00E14F93">
        <w:rPr>
          <w:rFonts w:ascii="Arial" w:hAnsi="Arial" w:cs="Arial"/>
          <w:iCs/>
          <w:color w:val="000000"/>
          <w:sz w:val="24"/>
          <w:szCs w:val="24"/>
        </w:rPr>
        <w:t xml:space="preserve">canal industrial para </w:t>
      </w:r>
      <w:r w:rsidR="00E14F93" w:rsidRPr="00E14F93">
        <w:rPr>
          <w:rFonts w:ascii="Arial" w:hAnsi="Arial" w:cs="Arial"/>
          <w:iCs/>
          <w:color w:val="000000"/>
          <w:sz w:val="24"/>
          <w:szCs w:val="24"/>
        </w:rPr>
        <w:t>uso y consumo propio del ejercicio de la actividad económica de las industrias, explotaciones agrícolas, ganaderas, forestales o acuícolas</w:t>
      </w:r>
      <w:r w:rsidR="00E14F93">
        <w:rPr>
          <w:rFonts w:ascii="Arial" w:hAnsi="Arial" w:cs="Arial"/>
          <w:iCs/>
          <w:color w:val="000000"/>
          <w:sz w:val="24"/>
          <w:szCs w:val="24"/>
        </w:rPr>
        <w:t xml:space="preserve">, </w:t>
      </w:r>
      <w:r w:rsidR="00E14F93" w:rsidRPr="00E14F93">
        <w:rPr>
          <w:rFonts w:ascii="Arial" w:hAnsi="Arial" w:cs="Arial"/>
          <w:iCs/>
          <w:color w:val="000000"/>
          <w:sz w:val="24"/>
          <w:szCs w:val="24"/>
        </w:rPr>
        <w:t xml:space="preserve">en el que el envase </w:t>
      </w:r>
      <w:r w:rsidR="00E14F93">
        <w:rPr>
          <w:rFonts w:ascii="Arial" w:hAnsi="Arial" w:cs="Arial"/>
          <w:iCs/>
          <w:color w:val="000000"/>
          <w:sz w:val="24"/>
          <w:szCs w:val="24"/>
        </w:rPr>
        <w:t>sea</w:t>
      </w:r>
      <w:r w:rsidR="00E14F93" w:rsidRPr="00E14F93">
        <w:rPr>
          <w:rFonts w:ascii="Arial" w:hAnsi="Arial" w:cs="Arial"/>
          <w:iCs/>
          <w:color w:val="000000"/>
          <w:sz w:val="24"/>
          <w:szCs w:val="24"/>
        </w:rPr>
        <w:t xml:space="preserve"> idéntico al envase</w:t>
      </w:r>
      <w:r w:rsidR="00E14F93">
        <w:rPr>
          <w:rFonts w:ascii="Arial" w:hAnsi="Arial" w:cs="Arial"/>
          <w:iCs/>
          <w:color w:val="000000"/>
          <w:sz w:val="24"/>
          <w:szCs w:val="24"/>
        </w:rPr>
        <w:t xml:space="preserve"> utilizado en el comercio minorista en</w:t>
      </w:r>
      <w:r w:rsidR="00E14F93" w:rsidRPr="00E14F93">
        <w:rPr>
          <w:rFonts w:ascii="Arial" w:hAnsi="Arial" w:cs="Arial"/>
          <w:iCs/>
          <w:color w:val="000000"/>
          <w:sz w:val="24"/>
          <w:szCs w:val="24"/>
        </w:rPr>
        <w:t xml:space="preserve"> formato, tamaño, gramaje</w:t>
      </w:r>
      <w:r w:rsidR="00E14F93">
        <w:rPr>
          <w:rFonts w:ascii="Arial" w:hAnsi="Arial" w:cs="Arial"/>
          <w:iCs/>
          <w:color w:val="000000"/>
          <w:sz w:val="24"/>
          <w:szCs w:val="24"/>
        </w:rPr>
        <w:t xml:space="preserve"> y </w:t>
      </w:r>
      <w:r w:rsidR="00E14F93" w:rsidRPr="00E14F93">
        <w:rPr>
          <w:rFonts w:ascii="Arial" w:hAnsi="Arial" w:cs="Arial"/>
          <w:iCs/>
          <w:color w:val="000000"/>
          <w:sz w:val="24"/>
          <w:szCs w:val="24"/>
        </w:rPr>
        <w:t>forma</w:t>
      </w:r>
      <w:r w:rsidR="00E14F93">
        <w:rPr>
          <w:rFonts w:ascii="Arial" w:hAnsi="Arial" w:cs="Arial"/>
          <w:iCs/>
          <w:color w:val="000000"/>
          <w:sz w:val="24"/>
          <w:szCs w:val="24"/>
        </w:rPr>
        <w:t xml:space="preserve">, </w:t>
      </w:r>
      <w:r w:rsidR="00E14F93" w:rsidRPr="00E14F93">
        <w:rPr>
          <w:rFonts w:ascii="Arial" w:hAnsi="Arial" w:cs="Arial"/>
          <w:b/>
          <w:bCs/>
          <w:iCs/>
          <w:color w:val="000000"/>
          <w:sz w:val="24"/>
          <w:szCs w:val="24"/>
        </w:rPr>
        <w:t>será un producto envasado en envase doméstico</w:t>
      </w:r>
      <w:r w:rsidR="00E14F93">
        <w:rPr>
          <w:rFonts w:ascii="Arial" w:hAnsi="Arial" w:cs="Arial"/>
          <w:iCs/>
          <w:color w:val="000000"/>
          <w:sz w:val="24"/>
          <w:szCs w:val="24"/>
        </w:rPr>
        <w:t>.</w:t>
      </w:r>
    </w:p>
    <w:p w14:paraId="4E833A30" w14:textId="378FBFB1" w:rsidR="00E14F93" w:rsidRPr="00E14F93" w:rsidRDefault="00E14F93" w:rsidP="006F3486">
      <w:pPr>
        <w:spacing w:after="240" w:line="259" w:lineRule="auto"/>
        <w:ind w:left="420"/>
        <w:jc w:val="both"/>
        <w:rPr>
          <w:rFonts w:ascii="Arial" w:hAnsi="Arial" w:cs="Arial"/>
          <w:bCs/>
          <w:iCs/>
          <w:color w:val="000000"/>
          <w:sz w:val="24"/>
          <w:szCs w:val="24"/>
          <w:lang w:eastAsia="en-US"/>
        </w:rPr>
      </w:pPr>
      <w:r w:rsidRPr="00E14F93">
        <w:rPr>
          <w:rFonts w:ascii="Arial" w:hAnsi="Arial" w:cs="Arial"/>
          <w:bCs/>
          <w:i/>
          <w:iCs/>
          <w:color w:val="000000"/>
          <w:sz w:val="24"/>
          <w:szCs w:val="24"/>
          <w:lang w:eastAsia="en-US"/>
        </w:rPr>
        <w:t>Ejemplo: un</w:t>
      </w:r>
      <w:r>
        <w:rPr>
          <w:rFonts w:ascii="Arial" w:hAnsi="Arial" w:cs="Arial"/>
          <w:bCs/>
          <w:i/>
          <w:iCs/>
          <w:color w:val="000000"/>
          <w:sz w:val="24"/>
          <w:szCs w:val="24"/>
          <w:lang w:eastAsia="en-US"/>
        </w:rPr>
        <w:t xml:space="preserve"> bote de pintura de </w:t>
      </w:r>
      <w:r w:rsidR="00BB46A3">
        <w:rPr>
          <w:rFonts w:ascii="Arial" w:hAnsi="Arial" w:cs="Arial"/>
          <w:bCs/>
          <w:i/>
          <w:iCs/>
          <w:color w:val="000000"/>
          <w:sz w:val="24"/>
          <w:szCs w:val="24"/>
          <w:lang w:eastAsia="en-US"/>
        </w:rPr>
        <w:t>15 litros</w:t>
      </w:r>
      <w:r w:rsidRPr="00E14F93">
        <w:rPr>
          <w:rFonts w:ascii="Arial" w:hAnsi="Arial" w:cs="Arial"/>
          <w:bCs/>
          <w:i/>
          <w:iCs/>
          <w:color w:val="000000"/>
          <w:sz w:val="24"/>
          <w:szCs w:val="24"/>
          <w:lang w:eastAsia="en-US"/>
        </w:rPr>
        <w:t xml:space="preserve">, que se comercializa tanto en el comercio minorista como en el canal </w:t>
      </w:r>
      <w:r w:rsidR="00BB46A3">
        <w:rPr>
          <w:rFonts w:ascii="Arial" w:hAnsi="Arial" w:cs="Arial"/>
          <w:bCs/>
          <w:i/>
          <w:iCs/>
          <w:color w:val="000000"/>
          <w:sz w:val="24"/>
          <w:szCs w:val="24"/>
          <w:lang w:eastAsia="en-US"/>
        </w:rPr>
        <w:t>industrial</w:t>
      </w:r>
      <w:r w:rsidRPr="00E14F93">
        <w:rPr>
          <w:rFonts w:ascii="Arial" w:hAnsi="Arial" w:cs="Arial"/>
          <w:bCs/>
          <w:iCs/>
          <w:color w:val="000000"/>
          <w:sz w:val="24"/>
          <w:szCs w:val="24"/>
          <w:lang w:eastAsia="en-US"/>
        </w:rPr>
        <w:t>.</w:t>
      </w:r>
    </w:p>
    <w:p w14:paraId="7296DF48" w14:textId="56D3433C" w:rsidR="00525773" w:rsidRPr="006A226C" w:rsidRDefault="00525773" w:rsidP="006A226C">
      <w:pPr>
        <w:pStyle w:val="Prrafodelista"/>
        <w:numPr>
          <w:ilvl w:val="0"/>
          <w:numId w:val="18"/>
        </w:numPr>
        <w:autoSpaceDE w:val="0"/>
        <w:autoSpaceDN w:val="0"/>
        <w:adjustRightInd w:val="0"/>
        <w:spacing w:after="240" w:line="259" w:lineRule="auto"/>
        <w:contextualSpacing w:val="0"/>
        <w:jc w:val="both"/>
        <w:rPr>
          <w:rFonts w:ascii="Arial" w:hAnsi="Arial" w:cs="Arial"/>
          <w:bCs/>
          <w:sz w:val="24"/>
          <w:szCs w:val="24"/>
        </w:rPr>
      </w:pPr>
      <w:r w:rsidRPr="006A226C">
        <w:rPr>
          <w:rFonts w:ascii="Arial" w:hAnsi="Arial" w:cs="Arial"/>
          <w:bCs/>
          <w:sz w:val="24"/>
          <w:szCs w:val="24"/>
        </w:rPr>
        <w:t xml:space="preserve">Aquel producto envasado en el que </w:t>
      </w:r>
      <w:r w:rsidRPr="006A226C">
        <w:rPr>
          <w:rFonts w:ascii="Arial" w:hAnsi="Arial" w:cs="Arial"/>
          <w:bCs/>
          <w:sz w:val="24"/>
          <w:szCs w:val="24"/>
          <w:u w:val="single"/>
        </w:rPr>
        <w:t>el envase destinado al canal industrial incluye una leyenda similar a “</w:t>
      </w:r>
      <w:r w:rsidRPr="006A226C">
        <w:rPr>
          <w:rFonts w:ascii="Arial" w:hAnsi="Arial" w:cs="Arial"/>
          <w:bCs/>
          <w:i/>
          <w:iCs/>
          <w:sz w:val="24"/>
          <w:szCs w:val="24"/>
          <w:u w:val="single"/>
        </w:rPr>
        <w:t>Uso exclusivo profesional</w:t>
      </w:r>
      <w:r w:rsidRPr="006A226C">
        <w:rPr>
          <w:rFonts w:ascii="Arial" w:hAnsi="Arial" w:cs="Arial"/>
          <w:bCs/>
          <w:sz w:val="24"/>
          <w:szCs w:val="24"/>
          <w:u w:val="single"/>
        </w:rPr>
        <w:t>”</w:t>
      </w:r>
      <w:r w:rsidRPr="006A226C">
        <w:rPr>
          <w:rFonts w:ascii="Arial" w:hAnsi="Arial" w:cs="Arial"/>
          <w:bCs/>
          <w:sz w:val="24"/>
          <w:szCs w:val="24"/>
        </w:rPr>
        <w:t xml:space="preserve">, aunque sea idéntico al envase destinado al comercio minorista en formato, tamaño, gramaje, forma y marca comercial, </w:t>
      </w:r>
      <w:r w:rsidRPr="006A226C">
        <w:rPr>
          <w:rFonts w:ascii="Arial" w:hAnsi="Arial" w:cs="Arial"/>
          <w:b/>
          <w:sz w:val="24"/>
          <w:szCs w:val="24"/>
        </w:rPr>
        <w:t>será un producto envasado en envase industrial</w:t>
      </w:r>
      <w:r w:rsidRPr="006A226C">
        <w:rPr>
          <w:rFonts w:ascii="Arial" w:hAnsi="Arial" w:cs="Arial"/>
          <w:bCs/>
          <w:sz w:val="24"/>
          <w:szCs w:val="24"/>
        </w:rPr>
        <w:t>, siempre que se garantice la absoluta trazabilidad del envase en todas las fases de comercialización, incluida la fase de gestión del residuo de envase y de forma independiente al del circuito de gestión de residuos de competencia local.</w:t>
      </w:r>
    </w:p>
    <w:p w14:paraId="318732E2" w14:textId="61137CA7" w:rsidR="00192C00" w:rsidRPr="001C252A" w:rsidRDefault="00192C00" w:rsidP="001C252A">
      <w:pPr>
        <w:pStyle w:val="Prrafodelista"/>
        <w:autoSpaceDE w:val="0"/>
        <w:autoSpaceDN w:val="0"/>
        <w:adjustRightInd w:val="0"/>
        <w:spacing w:after="240" w:line="259" w:lineRule="auto"/>
        <w:ind w:left="419"/>
        <w:contextualSpacing w:val="0"/>
        <w:jc w:val="both"/>
        <w:rPr>
          <w:rFonts w:ascii="Arial" w:hAnsi="Arial" w:cs="Arial"/>
          <w:bCs/>
          <w:i/>
          <w:iCs/>
          <w:sz w:val="24"/>
          <w:szCs w:val="24"/>
        </w:rPr>
      </w:pPr>
      <w:r w:rsidRPr="009917C0">
        <w:rPr>
          <w:rFonts w:ascii="Arial" w:hAnsi="Arial" w:cs="Arial"/>
          <w:bCs/>
          <w:i/>
          <w:iCs/>
          <w:sz w:val="24"/>
          <w:szCs w:val="24"/>
        </w:rPr>
        <w:t xml:space="preserve">Ejemplo: </w:t>
      </w:r>
      <w:r w:rsidR="001C252A" w:rsidRPr="001C252A">
        <w:rPr>
          <w:rFonts w:ascii="Arial" w:hAnsi="Arial" w:cs="Arial"/>
          <w:bCs/>
          <w:i/>
          <w:iCs/>
          <w:sz w:val="24"/>
          <w:szCs w:val="24"/>
        </w:rPr>
        <w:t xml:space="preserve">un saco de </w:t>
      </w:r>
      <w:r w:rsidR="001C252A">
        <w:rPr>
          <w:rFonts w:ascii="Arial" w:hAnsi="Arial" w:cs="Arial"/>
          <w:bCs/>
          <w:i/>
          <w:iCs/>
          <w:sz w:val="24"/>
          <w:szCs w:val="24"/>
        </w:rPr>
        <w:t>c</w:t>
      </w:r>
      <w:r w:rsidR="001C252A" w:rsidRPr="001C252A">
        <w:rPr>
          <w:rFonts w:ascii="Arial" w:hAnsi="Arial" w:cs="Arial"/>
          <w:bCs/>
          <w:i/>
          <w:iCs/>
          <w:sz w:val="24"/>
          <w:szCs w:val="24"/>
        </w:rPr>
        <w:t xml:space="preserve">emento cola de </w:t>
      </w:r>
      <w:r w:rsidR="001C252A">
        <w:rPr>
          <w:rFonts w:ascii="Arial" w:hAnsi="Arial" w:cs="Arial"/>
          <w:bCs/>
          <w:i/>
          <w:iCs/>
          <w:sz w:val="24"/>
          <w:szCs w:val="24"/>
        </w:rPr>
        <w:t>2</w:t>
      </w:r>
      <w:r w:rsidR="001C252A" w:rsidRPr="001C252A">
        <w:rPr>
          <w:rFonts w:ascii="Arial" w:hAnsi="Arial" w:cs="Arial"/>
          <w:bCs/>
          <w:i/>
          <w:iCs/>
          <w:sz w:val="24"/>
          <w:szCs w:val="24"/>
        </w:rPr>
        <w:t>5 kg</w:t>
      </w:r>
      <w:r w:rsidR="001C252A">
        <w:rPr>
          <w:rFonts w:ascii="Arial" w:hAnsi="Arial" w:cs="Arial"/>
          <w:bCs/>
          <w:i/>
          <w:iCs/>
          <w:sz w:val="24"/>
          <w:szCs w:val="24"/>
        </w:rPr>
        <w:t xml:space="preserve"> </w:t>
      </w:r>
      <w:r w:rsidRPr="001C252A">
        <w:rPr>
          <w:rFonts w:ascii="Arial" w:hAnsi="Arial" w:cs="Arial"/>
          <w:bCs/>
          <w:i/>
          <w:iCs/>
          <w:sz w:val="24"/>
          <w:szCs w:val="24"/>
        </w:rPr>
        <w:t xml:space="preserve">que </w:t>
      </w:r>
      <w:r w:rsidR="001C252A">
        <w:rPr>
          <w:rFonts w:ascii="Arial" w:hAnsi="Arial" w:cs="Arial"/>
          <w:bCs/>
          <w:i/>
          <w:iCs/>
          <w:sz w:val="24"/>
          <w:szCs w:val="24"/>
        </w:rPr>
        <w:t>incluye</w:t>
      </w:r>
      <w:r w:rsidRPr="001C252A">
        <w:rPr>
          <w:rFonts w:ascii="Arial" w:hAnsi="Arial" w:cs="Arial"/>
          <w:bCs/>
          <w:i/>
          <w:iCs/>
          <w:sz w:val="24"/>
          <w:szCs w:val="24"/>
        </w:rPr>
        <w:t xml:space="preserve"> </w:t>
      </w:r>
      <w:r w:rsidR="001C252A">
        <w:rPr>
          <w:rFonts w:ascii="Arial" w:hAnsi="Arial" w:cs="Arial"/>
          <w:bCs/>
          <w:i/>
          <w:iCs/>
          <w:sz w:val="24"/>
          <w:szCs w:val="24"/>
        </w:rPr>
        <w:t xml:space="preserve">en el marcado de los </w:t>
      </w:r>
      <w:r w:rsidRPr="001C252A">
        <w:rPr>
          <w:rFonts w:ascii="Arial" w:hAnsi="Arial" w:cs="Arial"/>
          <w:bCs/>
          <w:i/>
          <w:iCs/>
          <w:sz w:val="24"/>
          <w:szCs w:val="24"/>
        </w:rPr>
        <w:t>envase</w:t>
      </w:r>
      <w:r w:rsidR="001C252A">
        <w:rPr>
          <w:rFonts w:ascii="Arial" w:hAnsi="Arial" w:cs="Arial"/>
          <w:bCs/>
          <w:i/>
          <w:iCs/>
          <w:sz w:val="24"/>
          <w:szCs w:val="24"/>
        </w:rPr>
        <w:t>s</w:t>
      </w:r>
      <w:r w:rsidRPr="001C252A">
        <w:rPr>
          <w:rFonts w:ascii="Arial" w:hAnsi="Arial" w:cs="Arial"/>
          <w:bCs/>
          <w:i/>
          <w:iCs/>
          <w:sz w:val="24"/>
          <w:szCs w:val="24"/>
        </w:rPr>
        <w:t xml:space="preserve"> destinados a</w:t>
      </w:r>
      <w:r w:rsidR="001C252A">
        <w:rPr>
          <w:rFonts w:ascii="Arial" w:hAnsi="Arial" w:cs="Arial"/>
          <w:bCs/>
          <w:i/>
          <w:iCs/>
          <w:sz w:val="24"/>
          <w:szCs w:val="24"/>
        </w:rPr>
        <w:t>l</w:t>
      </w:r>
      <w:r w:rsidRPr="001C252A">
        <w:rPr>
          <w:rFonts w:ascii="Arial" w:hAnsi="Arial" w:cs="Arial"/>
          <w:bCs/>
          <w:i/>
          <w:iCs/>
          <w:sz w:val="24"/>
          <w:szCs w:val="24"/>
        </w:rPr>
        <w:t xml:space="preserve"> canal </w:t>
      </w:r>
      <w:r w:rsidR="001C252A">
        <w:rPr>
          <w:rFonts w:ascii="Arial" w:hAnsi="Arial" w:cs="Arial"/>
          <w:bCs/>
          <w:i/>
          <w:iCs/>
          <w:sz w:val="24"/>
          <w:szCs w:val="24"/>
        </w:rPr>
        <w:t>industrial</w:t>
      </w:r>
      <w:r w:rsidRPr="001C252A">
        <w:rPr>
          <w:rFonts w:ascii="Arial" w:hAnsi="Arial" w:cs="Arial"/>
          <w:bCs/>
          <w:i/>
          <w:iCs/>
          <w:sz w:val="24"/>
          <w:szCs w:val="24"/>
        </w:rPr>
        <w:t xml:space="preserve"> la mención “</w:t>
      </w:r>
      <w:r w:rsidR="001C252A" w:rsidRPr="001C252A">
        <w:rPr>
          <w:rFonts w:ascii="Arial" w:hAnsi="Arial" w:cs="Arial"/>
          <w:bCs/>
          <w:i/>
          <w:iCs/>
          <w:sz w:val="24"/>
          <w:szCs w:val="24"/>
        </w:rPr>
        <w:t>Uso exclusivo profesional</w:t>
      </w:r>
      <w:r w:rsidRPr="001C252A">
        <w:rPr>
          <w:rFonts w:ascii="Arial" w:hAnsi="Arial" w:cs="Arial"/>
          <w:bCs/>
          <w:i/>
          <w:iCs/>
          <w:sz w:val="24"/>
          <w:szCs w:val="24"/>
        </w:rPr>
        <w:t xml:space="preserve">”, mención que no aparece en los envases destinados a comercio minorista, pero donde se distribuye </w:t>
      </w:r>
      <w:r w:rsidR="001C252A">
        <w:rPr>
          <w:rFonts w:ascii="Arial" w:hAnsi="Arial" w:cs="Arial"/>
          <w:bCs/>
          <w:i/>
          <w:iCs/>
          <w:sz w:val="24"/>
          <w:szCs w:val="24"/>
        </w:rPr>
        <w:t>el mismo saco</w:t>
      </w:r>
      <w:r w:rsidRPr="001C252A">
        <w:rPr>
          <w:rFonts w:ascii="Arial" w:hAnsi="Arial" w:cs="Arial"/>
          <w:bCs/>
          <w:i/>
          <w:iCs/>
          <w:sz w:val="24"/>
          <w:szCs w:val="24"/>
        </w:rPr>
        <w:t xml:space="preserve"> sin </w:t>
      </w:r>
      <w:r w:rsidR="008C0EEF">
        <w:rPr>
          <w:rFonts w:ascii="Arial" w:hAnsi="Arial" w:cs="Arial"/>
          <w:bCs/>
          <w:i/>
          <w:iCs/>
          <w:sz w:val="24"/>
          <w:szCs w:val="24"/>
        </w:rPr>
        <w:t>dicho</w:t>
      </w:r>
      <w:r w:rsidRPr="001C252A">
        <w:rPr>
          <w:rFonts w:ascii="Arial" w:hAnsi="Arial" w:cs="Arial"/>
          <w:bCs/>
          <w:i/>
          <w:iCs/>
          <w:sz w:val="24"/>
          <w:szCs w:val="24"/>
        </w:rPr>
        <w:t xml:space="preserve"> </w:t>
      </w:r>
      <w:r w:rsidR="001C252A">
        <w:rPr>
          <w:rFonts w:ascii="Arial" w:hAnsi="Arial" w:cs="Arial"/>
          <w:bCs/>
          <w:i/>
          <w:iCs/>
          <w:sz w:val="24"/>
          <w:szCs w:val="24"/>
        </w:rPr>
        <w:t>marcado</w:t>
      </w:r>
      <w:r w:rsidRPr="001C252A">
        <w:rPr>
          <w:rFonts w:ascii="Arial" w:hAnsi="Arial" w:cs="Arial"/>
          <w:bCs/>
          <w:sz w:val="24"/>
          <w:szCs w:val="24"/>
        </w:rPr>
        <w:t>.</w:t>
      </w:r>
    </w:p>
    <w:p w14:paraId="796BF969" w14:textId="224E6AF4" w:rsidR="00FD25A7" w:rsidRDefault="006F3486" w:rsidP="006F3486">
      <w:pPr>
        <w:pStyle w:val="Prrafodelista"/>
        <w:numPr>
          <w:ilvl w:val="0"/>
          <w:numId w:val="18"/>
        </w:numPr>
        <w:autoSpaceDE w:val="0"/>
        <w:autoSpaceDN w:val="0"/>
        <w:adjustRightInd w:val="0"/>
        <w:spacing w:after="240" w:line="259" w:lineRule="auto"/>
        <w:contextualSpacing w:val="0"/>
        <w:jc w:val="both"/>
        <w:rPr>
          <w:rFonts w:ascii="Arial" w:hAnsi="Arial" w:cs="Arial"/>
          <w:iCs/>
          <w:color w:val="000000"/>
          <w:sz w:val="24"/>
          <w:szCs w:val="24"/>
        </w:rPr>
      </w:pPr>
      <w:r>
        <w:rPr>
          <w:rFonts w:ascii="Arial" w:hAnsi="Arial" w:cs="Arial"/>
          <w:iCs/>
          <w:color w:val="000000"/>
          <w:sz w:val="24"/>
          <w:szCs w:val="24"/>
        </w:rPr>
        <w:t>A</w:t>
      </w:r>
      <w:r w:rsidR="00460E45" w:rsidRPr="006F3486">
        <w:rPr>
          <w:rFonts w:ascii="Arial" w:hAnsi="Arial" w:cs="Arial"/>
          <w:iCs/>
          <w:color w:val="000000"/>
          <w:sz w:val="24"/>
          <w:szCs w:val="24"/>
        </w:rPr>
        <w:t>quel producto que se distribuya en envases para uso y consumo</w:t>
      </w:r>
      <w:r w:rsidR="00460E45">
        <w:rPr>
          <w:rFonts w:ascii="Arial" w:hAnsi="Arial" w:cs="Arial"/>
          <w:iCs/>
          <w:color w:val="000000"/>
          <w:sz w:val="24"/>
          <w:szCs w:val="24"/>
        </w:rPr>
        <w:t xml:space="preserve"> en el canal industrial</w:t>
      </w:r>
      <w:r w:rsidR="00460E45" w:rsidRPr="00460E45">
        <w:rPr>
          <w:rFonts w:ascii="Arial" w:hAnsi="Arial" w:cs="Arial"/>
          <w:iCs/>
          <w:color w:val="000000"/>
          <w:sz w:val="24"/>
          <w:szCs w:val="24"/>
        </w:rPr>
        <w:t>, y present</w:t>
      </w:r>
      <w:r w:rsidR="00460E45">
        <w:rPr>
          <w:rFonts w:ascii="Arial" w:hAnsi="Arial" w:cs="Arial"/>
          <w:iCs/>
          <w:color w:val="000000"/>
          <w:sz w:val="24"/>
          <w:szCs w:val="24"/>
        </w:rPr>
        <w:t>en</w:t>
      </w:r>
      <w:r w:rsidR="00460E45" w:rsidRPr="00460E45">
        <w:rPr>
          <w:rFonts w:ascii="Arial" w:hAnsi="Arial" w:cs="Arial"/>
          <w:iCs/>
          <w:color w:val="000000"/>
          <w:sz w:val="24"/>
          <w:szCs w:val="24"/>
        </w:rPr>
        <w:t xml:space="preserve"> un formato, tamaño, gramaje, forma y etiquetado diferentes </w:t>
      </w:r>
      <w:r w:rsidR="00460E45">
        <w:rPr>
          <w:rFonts w:ascii="Arial" w:hAnsi="Arial" w:cs="Arial"/>
          <w:iCs/>
          <w:color w:val="000000"/>
          <w:sz w:val="24"/>
          <w:szCs w:val="24"/>
        </w:rPr>
        <w:t xml:space="preserve">de cualquier </w:t>
      </w:r>
      <w:r w:rsidR="00460E45" w:rsidRPr="00460E45">
        <w:rPr>
          <w:rFonts w:ascii="Arial" w:hAnsi="Arial" w:cs="Arial"/>
          <w:iCs/>
          <w:color w:val="000000"/>
          <w:sz w:val="24"/>
          <w:szCs w:val="24"/>
        </w:rPr>
        <w:t xml:space="preserve">envase destinado al comercio minorista, será un </w:t>
      </w:r>
      <w:r w:rsidR="00460E45" w:rsidRPr="00460E45">
        <w:rPr>
          <w:rFonts w:ascii="Arial" w:hAnsi="Arial" w:cs="Arial"/>
          <w:b/>
          <w:bCs/>
          <w:iCs/>
          <w:color w:val="000000"/>
          <w:sz w:val="24"/>
          <w:szCs w:val="24"/>
        </w:rPr>
        <w:t xml:space="preserve">producto envasado en envase </w:t>
      </w:r>
      <w:r>
        <w:rPr>
          <w:rFonts w:ascii="Arial" w:hAnsi="Arial" w:cs="Arial"/>
          <w:b/>
          <w:bCs/>
          <w:iCs/>
          <w:color w:val="000000"/>
          <w:sz w:val="24"/>
          <w:szCs w:val="24"/>
        </w:rPr>
        <w:t>industrial</w:t>
      </w:r>
      <w:r w:rsidR="00460E45">
        <w:rPr>
          <w:rFonts w:ascii="Arial" w:hAnsi="Arial" w:cs="Arial"/>
          <w:iCs/>
          <w:color w:val="000000"/>
          <w:sz w:val="24"/>
          <w:szCs w:val="24"/>
        </w:rPr>
        <w:t>.</w:t>
      </w:r>
    </w:p>
    <w:p w14:paraId="23BE6CE0" w14:textId="04AF3F70" w:rsidR="00460E45" w:rsidRDefault="00460E45" w:rsidP="006F3486">
      <w:pPr>
        <w:spacing w:after="240" w:line="259" w:lineRule="auto"/>
        <w:ind w:left="420"/>
        <w:jc w:val="both"/>
        <w:rPr>
          <w:rFonts w:ascii="Arial" w:hAnsi="Arial" w:cs="Arial"/>
          <w:bCs/>
          <w:i/>
          <w:iCs/>
          <w:color w:val="000000"/>
          <w:sz w:val="24"/>
          <w:szCs w:val="24"/>
          <w:lang w:eastAsia="en-US"/>
        </w:rPr>
      </w:pPr>
      <w:r w:rsidRPr="00460E45">
        <w:rPr>
          <w:rFonts w:ascii="Arial" w:hAnsi="Arial" w:cs="Arial"/>
          <w:bCs/>
          <w:i/>
          <w:iCs/>
          <w:color w:val="000000"/>
          <w:sz w:val="24"/>
          <w:szCs w:val="24"/>
          <w:lang w:eastAsia="en-US"/>
        </w:rPr>
        <w:t xml:space="preserve">Ejemplo: </w:t>
      </w:r>
      <w:r>
        <w:rPr>
          <w:rFonts w:ascii="Arial" w:hAnsi="Arial" w:cs="Arial"/>
          <w:bCs/>
          <w:i/>
          <w:iCs/>
          <w:color w:val="000000"/>
          <w:sz w:val="24"/>
          <w:szCs w:val="24"/>
          <w:lang w:eastAsia="en-US"/>
        </w:rPr>
        <w:t xml:space="preserve">un saco de cemento </w:t>
      </w:r>
      <w:r w:rsidRPr="00460E45">
        <w:rPr>
          <w:rFonts w:ascii="Arial" w:hAnsi="Arial" w:cs="Arial"/>
          <w:bCs/>
          <w:i/>
          <w:iCs/>
          <w:color w:val="000000"/>
          <w:sz w:val="24"/>
          <w:szCs w:val="24"/>
          <w:lang w:eastAsia="en-US"/>
        </w:rPr>
        <w:t>gris de 35 kg</w:t>
      </w:r>
      <w:r>
        <w:rPr>
          <w:rFonts w:ascii="Arial" w:hAnsi="Arial" w:cs="Arial"/>
          <w:bCs/>
          <w:i/>
          <w:iCs/>
          <w:color w:val="000000"/>
          <w:sz w:val="24"/>
          <w:szCs w:val="24"/>
          <w:lang w:eastAsia="en-US"/>
        </w:rPr>
        <w:t xml:space="preserve">, si únicamente se distribuye en el canal industrial y para uso profesional, y no </w:t>
      </w:r>
      <w:r w:rsidRPr="00460E45">
        <w:rPr>
          <w:rFonts w:ascii="Arial" w:hAnsi="Arial" w:cs="Arial"/>
          <w:bCs/>
          <w:i/>
          <w:iCs/>
          <w:color w:val="000000"/>
          <w:sz w:val="24"/>
          <w:szCs w:val="24"/>
          <w:lang w:eastAsia="en-US"/>
        </w:rPr>
        <w:t xml:space="preserve">puede adquirirse </w:t>
      </w:r>
      <w:r>
        <w:rPr>
          <w:rFonts w:ascii="Arial" w:hAnsi="Arial" w:cs="Arial"/>
          <w:bCs/>
          <w:i/>
          <w:iCs/>
          <w:color w:val="000000"/>
          <w:sz w:val="24"/>
          <w:szCs w:val="24"/>
          <w:lang w:eastAsia="en-US"/>
        </w:rPr>
        <w:t xml:space="preserve">en ningún caso </w:t>
      </w:r>
      <w:r w:rsidRPr="00460E45">
        <w:rPr>
          <w:rFonts w:ascii="Arial" w:hAnsi="Arial" w:cs="Arial"/>
          <w:bCs/>
          <w:i/>
          <w:iCs/>
          <w:color w:val="000000"/>
          <w:sz w:val="24"/>
          <w:szCs w:val="24"/>
          <w:lang w:eastAsia="en-US"/>
        </w:rPr>
        <w:t xml:space="preserve">en el comercio minorista. No obstante, si este mismo envase </w:t>
      </w:r>
      <w:r>
        <w:rPr>
          <w:rFonts w:ascii="Arial" w:hAnsi="Arial" w:cs="Arial"/>
          <w:bCs/>
          <w:i/>
          <w:iCs/>
          <w:color w:val="000000"/>
          <w:sz w:val="24"/>
          <w:szCs w:val="24"/>
          <w:lang w:eastAsia="en-US"/>
        </w:rPr>
        <w:t xml:space="preserve">(producto envasado) </w:t>
      </w:r>
      <w:r w:rsidRPr="00460E45">
        <w:rPr>
          <w:rFonts w:ascii="Arial" w:hAnsi="Arial" w:cs="Arial"/>
          <w:bCs/>
          <w:i/>
          <w:iCs/>
          <w:color w:val="000000"/>
          <w:sz w:val="24"/>
          <w:szCs w:val="24"/>
          <w:lang w:eastAsia="en-US"/>
        </w:rPr>
        <w:t xml:space="preserve">es susceptible de ser adquirido en </w:t>
      </w:r>
      <w:r>
        <w:rPr>
          <w:rFonts w:ascii="Arial" w:hAnsi="Arial" w:cs="Arial"/>
          <w:bCs/>
          <w:i/>
          <w:iCs/>
          <w:color w:val="000000"/>
          <w:sz w:val="24"/>
          <w:szCs w:val="24"/>
          <w:lang w:eastAsia="en-US"/>
        </w:rPr>
        <w:t xml:space="preserve">plataformas y distribuidores de material de construcción, </w:t>
      </w:r>
      <w:r w:rsidRPr="00460E45">
        <w:rPr>
          <w:rFonts w:ascii="Arial" w:hAnsi="Arial" w:cs="Arial"/>
          <w:bCs/>
          <w:i/>
          <w:iCs/>
          <w:color w:val="000000"/>
          <w:sz w:val="24"/>
          <w:szCs w:val="24"/>
          <w:lang w:eastAsia="en-US"/>
        </w:rPr>
        <w:t>cuya venta no es exclusiva y restringida a profesionales del sector, entonces tendrá la consideración de doméstico.</w:t>
      </w:r>
    </w:p>
    <w:p w14:paraId="5221562C" w14:textId="4C6658F8" w:rsidR="00CF667C" w:rsidRPr="00460E45" w:rsidRDefault="00CF667C" w:rsidP="006F3486">
      <w:pPr>
        <w:spacing w:after="240" w:line="259" w:lineRule="auto"/>
        <w:ind w:left="420"/>
        <w:jc w:val="both"/>
        <w:rPr>
          <w:rFonts w:ascii="Arial" w:hAnsi="Arial" w:cs="Arial"/>
          <w:bCs/>
          <w:i/>
          <w:iCs/>
          <w:color w:val="000000"/>
          <w:sz w:val="24"/>
          <w:szCs w:val="24"/>
          <w:lang w:eastAsia="en-US"/>
        </w:rPr>
      </w:pPr>
      <w:r w:rsidRPr="00CF667C">
        <w:rPr>
          <w:rFonts w:ascii="Arial" w:hAnsi="Arial" w:cs="Arial"/>
          <w:bCs/>
          <w:i/>
          <w:iCs/>
          <w:color w:val="000000"/>
          <w:sz w:val="24"/>
          <w:szCs w:val="24"/>
          <w:lang w:eastAsia="en-US"/>
        </w:rPr>
        <w:t>Ejemplo: bidón de 60 litros conteniendo ácido sulfúrico 37%, formato que únicamente se comercializa para uso industrial y que en ningún caso puede adquirirse en el comercio minorista</w:t>
      </w:r>
    </w:p>
    <w:p w14:paraId="299D6100" w14:textId="47BACFF6" w:rsidR="008C29F7" w:rsidRDefault="008C29F7" w:rsidP="008C29F7">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En consecuencia, para determinar si un envase es doméstico o industrial, se debe tener en cuenta que, si </w:t>
      </w:r>
      <w:r w:rsidR="00310B87">
        <w:rPr>
          <w:rFonts w:ascii="Arial" w:eastAsia="Calibri" w:hAnsi="Arial" w:cs="Arial"/>
          <w:bCs/>
          <w:sz w:val="24"/>
          <w:szCs w:val="24"/>
          <w:lang w:eastAsia="en-US"/>
        </w:rPr>
        <w:t xml:space="preserve">el </w:t>
      </w:r>
      <w:r>
        <w:rPr>
          <w:rFonts w:ascii="Arial" w:eastAsia="Calibri" w:hAnsi="Arial" w:cs="Arial"/>
          <w:bCs/>
          <w:sz w:val="24"/>
          <w:szCs w:val="24"/>
          <w:lang w:eastAsia="en-US"/>
        </w:rPr>
        <w:t>formato,</w:t>
      </w:r>
      <w:r w:rsidRPr="00EC4542">
        <w:rPr>
          <w:rFonts w:ascii="Arial" w:eastAsia="Calibri" w:hAnsi="Arial" w:cs="Arial"/>
          <w:bCs/>
          <w:sz w:val="24"/>
          <w:szCs w:val="24"/>
          <w:lang w:eastAsia="en-US"/>
        </w:rPr>
        <w:t xml:space="preserve"> tamaño</w:t>
      </w:r>
      <w:r>
        <w:rPr>
          <w:rFonts w:ascii="Arial" w:eastAsia="Calibri" w:hAnsi="Arial" w:cs="Arial"/>
          <w:bCs/>
          <w:sz w:val="24"/>
          <w:szCs w:val="24"/>
          <w:lang w:eastAsia="en-US"/>
        </w:rPr>
        <w:t>,</w:t>
      </w:r>
      <w:r w:rsidRPr="00EC4542">
        <w:rPr>
          <w:rFonts w:ascii="Arial" w:eastAsia="Calibri" w:hAnsi="Arial" w:cs="Arial"/>
          <w:bCs/>
          <w:sz w:val="24"/>
          <w:szCs w:val="24"/>
          <w:lang w:eastAsia="en-US"/>
        </w:rPr>
        <w:t xml:space="preserve"> gramaje</w:t>
      </w:r>
      <w:r>
        <w:rPr>
          <w:rFonts w:ascii="Arial" w:eastAsia="Calibri" w:hAnsi="Arial" w:cs="Arial"/>
          <w:bCs/>
          <w:sz w:val="24"/>
          <w:szCs w:val="24"/>
          <w:lang w:eastAsia="en-US"/>
        </w:rPr>
        <w:t xml:space="preserve"> y forma utilizado para la comercialización del producto en el canal industrial no difiere en esencia de aquel utilizado</w:t>
      </w:r>
      <w:r w:rsidRPr="008C1564">
        <w:rPr>
          <w:rFonts w:ascii="Arial" w:eastAsia="Calibri" w:hAnsi="Arial" w:cs="Arial"/>
          <w:bCs/>
          <w:sz w:val="24"/>
          <w:szCs w:val="24"/>
          <w:lang w:eastAsia="en-US"/>
        </w:rPr>
        <w:t xml:space="preserve"> para </w:t>
      </w:r>
      <w:r>
        <w:rPr>
          <w:rFonts w:ascii="Arial" w:eastAsia="Calibri" w:hAnsi="Arial" w:cs="Arial"/>
          <w:bCs/>
          <w:sz w:val="24"/>
          <w:szCs w:val="24"/>
          <w:lang w:eastAsia="en-US"/>
        </w:rPr>
        <w:t xml:space="preserve">la </w:t>
      </w:r>
      <w:r w:rsidRPr="008C1564">
        <w:rPr>
          <w:rFonts w:ascii="Arial" w:eastAsia="Calibri" w:hAnsi="Arial" w:cs="Arial"/>
          <w:bCs/>
          <w:sz w:val="24"/>
          <w:szCs w:val="24"/>
          <w:lang w:eastAsia="en-US"/>
        </w:rPr>
        <w:t>venta en canales minoristas</w:t>
      </w:r>
      <w:r>
        <w:rPr>
          <w:rFonts w:ascii="Arial" w:eastAsia="Calibri" w:hAnsi="Arial" w:cs="Arial"/>
          <w:bCs/>
          <w:sz w:val="24"/>
          <w:szCs w:val="24"/>
          <w:lang w:eastAsia="en-US"/>
        </w:rPr>
        <w:t>, entonces tendrá la consideración de doméstico.</w:t>
      </w:r>
    </w:p>
    <w:p w14:paraId="0866A09B" w14:textId="77777777" w:rsidR="00E378BA" w:rsidRDefault="00E378BA" w:rsidP="00E378B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No obstante, en aquellos casos en que estos envases se encuentren marcados de manera inequívoca como “</w:t>
      </w:r>
      <w:r w:rsidRPr="008C29F7">
        <w:rPr>
          <w:rFonts w:ascii="Arial" w:eastAsia="Calibri" w:hAnsi="Arial" w:cs="Arial"/>
          <w:bCs/>
          <w:i/>
          <w:iCs/>
          <w:sz w:val="24"/>
          <w:szCs w:val="24"/>
          <w:lang w:eastAsia="en-US"/>
        </w:rPr>
        <w:t>Uso exclusivo profesional</w:t>
      </w:r>
      <w:r>
        <w:rPr>
          <w:rFonts w:ascii="Arial" w:eastAsia="Calibri" w:hAnsi="Arial" w:cs="Arial"/>
          <w:bCs/>
          <w:sz w:val="24"/>
          <w:szCs w:val="24"/>
          <w:lang w:eastAsia="en-US"/>
        </w:rPr>
        <w:t xml:space="preserve">” o similar durante toda su vida útil, lo que incluye cuando los mismos se convierten en residuos, y </w:t>
      </w:r>
      <w:r w:rsidRPr="008C1564">
        <w:rPr>
          <w:rFonts w:ascii="Arial" w:eastAsia="Calibri" w:hAnsi="Arial" w:cs="Arial"/>
          <w:bCs/>
          <w:sz w:val="24"/>
          <w:szCs w:val="24"/>
          <w:lang w:eastAsia="en-US"/>
        </w:rPr>
        <w:t>se pueda garantizar la absoluta trazabilidad del envase en todas las fases de comercialización</w:t>
      </w:r>
      <w:r>
        <w:rPr>
          <w:rFonts w:ascii="Arial" w:eastAsia="Calibri" w:hAnsi="Arial" w:cs="Arial"/>
          <w:bCs/>
          <w:sz w:val="24"/>
          <w:szCs w:val="24"/>
          <w:lang w:eastAsia="en-US"/>
        </w:rPr>
        <w:t xml:space="preserve"> de manera diferenciada al canal doméstico</w:t>
      </w:r>
      <w:r w:rsidRPr="008C1564">
        <w:rPr>
          <w:rFonts w:ascii="Arial" w:eastAsia="Calibri" w:hAnsi="Arial" w:cs="Arial"/>
          <w:bCs/>
          <w:sz w:val="24"/>
          <w:szCs w:val="24"/>
          <w:lang w:eastAsia="en-US"/>
        </w:rPr>
        <w:t xml:space="preserve">, incluida la fase de gestión del residuo de envase y de forma independiente al del circuito de gestión de residuos de competencia local, </w:t>
      </w:r>
      <w:r>
        <w:rPr>
          <w:rFonts w:ascii="Arial" w:eastAsia="Calibri" w:hAnsi="Arial" w:cs="Arial"/>
          <w:bCs/>
          <w:sz w:val="24"/>
          <w:szCs w:val="24"/>
          <w:lang w:eastAsia="en-US"/>
        </w:rPr>
        <w:t xml:space="preserve">entonces </w:t>
      </w:r>
      <w:r w:rsidRPr="008C1564">
        <w:rPr>
          <w:rFonts w:ascii="Arial" w:eastAsia="Calibri" w:hAnsi="Arial" w:cs="Arial"/>
          <w:bCs/>
          <w:sz w:val="24"/>
          <w:szCs w:val="24"/>
          <w:lang w:eastAsia="en-US"/>
        </w:rPr>
        <w:t>ser</w:t>
      </w:r>
      <w:r>
        <w:rPr>
          <w:rFonts w:ascii="Arial" w:eastAsia="Calibri" w:hAnsi="Arial" w:cs="Arial"/>
          <w:bCs/>
          <w:sz w:val="24"/>
          <w:szCs w:val="24"/>
          <w:lang w:eastAsia="en-US"/>
        </w:rPr>
        <w:t>ía</w:t>
      </w:r>
      <w:r w:rsidRPr="008C1564">
        <w:rPr>
          <w:rFonts w:ascii="Arial" w:eastAsia="Calibri" w:hAnsi="Arial" w:cs="Arial"/>
          <w:bCs/>
          <w:sz w:val="24"/>
          <w:szCs w:val="24"/>
          <w:lang w:eastAsia="en-US"/>
        </w:rPr>
        <w:t xml:space="preserve"> envase </w:t>
      </w:r>
      <w:r>
        <w:rPr>
          <w:rFonts w:ascii="Arial" w:eastAsia="Calibri" w:hAnsi="Arial" w:cs="Arial"/>
          <w:bCs/>
          <w:sz w:val="24"/>
          <w:szCs w:val="24"/>
          <w:lang w:eastAsia="en-US"/>
        </w:rPr>
        <w:t>industrial.</w:t>
      </w:r>
    </w:p>
    <w:p w14:paraId="64C8DA2B" w14:textId="2D131A72" w:rsidR="00E378BA" w:rsidRDefault="00E378BA" w:rsidP="00E378B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Por tanto, para admitirse que un envase utilizado en el canal industrial idéntico al del canal doméstico, pueda ser gestionado aplicando el régimen </w:t>
      </w:r>
      <w:r w:rsidRPr="008C1564">
        <w:rPr>
          <w:rFonts w:ascii="Arial" w:eastAsia="Calibri" w:hAnsi="Arial" w:cs="Arial"/>
          <w:bCs/>
          <w:sz w:val="24"/>
          <w:szCs w:val="24"/>
          <w:lang w:eastAsia="en-US"/>
        </w:rPr>
        <w:t xml:space="preserve">de responsabilidad ampliada del productor en materia de envases </w:t>
      </w:r>
      <w:r>
        <w:rPr>
          <w:rFonts w:ascii="Arial" w:eastAsia="Calibri" w:hAnsi="Arial" w:cs="Arial"/>
          <w:bCs/>
          <w:sz w:val="24"/>
          <w:szCs w:val="24"/>
          <w:lang w:eastAsia="en-US"/>
        </w:rPr>
        <w:t xml:space="preserve">industriales, debe tener un marcado inequívoco que permita su diferenciación no sólo en su comercialización, sino también cuando se convierten en residuos, garantizando de este modo la trazabilidad de su comercialización exclusivamente a través de dicho canal, y sin la posibilidad de que dichos residuos puedan acabar en el </w:t>
      </w:r>
      <w:r w:rsidRPr="008C1564">
        <w:rPr>
          <w:rFonts w:ascii="Arial" w:eastAsia="Calibri" w:hAnsi="Arial" w:cs="Arial"/>
          <w:bCs/>
          <w:sz w:val="24"/>
          <w:szCs w:val="24"/>
          <w:lang w:eastAsia="en-US"/>
        </w:rPr>
        <w:t>circuito de gestión de residuos de competencia loca</w:t>
      </w:r>
      <w:r>
        <w:rPr>
          <w:rFonts w:ascii="Arial" w:eastAsia="Calibri" w:hAnsi="Arial" w:cs="Arial"/>
          <w:bCs/>
          <w:sz w:val="24"/>
          <w:szCs w:val="24"/>
          <w:lang w:eastAsia="en-US"/>
        </w:rPr>
        <w:t>l, aspecto que podrá comprobarse a través de las correspondientes caracterizaciones de residuos. De ello deriva que el marcado diferenciado deberá tener unas características tales que garanticen su perdurabilidad hasta el tratamiento final del residuo de envase.</w:t>
      </w:r>
    </w:p>
    <w:p w14:paraId="159F1917" w14:textId="173EC1FB" w:rsidR="008C29F7" w:rsidRDefault="008C29F7" w:rsidP="008C29F7">
      <w:pPr>
        <w:spacing w:after="240" w:line="259" w:lineRule="auto"/>
        <w:jc w:val="both"/>
        <w:rPr>
          <w:rFonts w:ascii="Arial" w:hAnsi="Arial" w:cs="Arial"/>
          <w:iCs/>
          <w:color w:val="000000"/>
          <w:sz w:val="24"/>
          <w:szCs w:val="24"/>
          <w:lang w:eastAsia="en-US"/>
        </w:rPr>
      </w:pPr>
      <w:r>
        <w:rPr>
          <w:rFonts w:ascii="Arial" w:hAnsi="Arial" w:cs="Arial"/>
          <w:iCs/>
          <w:color w:val="000000"/>
          <w:sz w:val="24"/>
          <w:szCs w:val="24"/>
          <w:lang w:eastAsia="en-US"/>
        </w:rPr>
        <w:t xml:space="preserve">De igual forma, tendrá la consideración de envase </w:t>
      </w:r>
      <w:r w:rsidR="00A4628A">
        <w:rPr>
          <w:rFonts w:ascii="Arial" w:hAnsi="Arial" w:cs="Arial"/>
          <w:iCs/>
          <w:color w:val="000000"/>
          <w:sz w:val="24"/>
          <w:szCs w:val="24"/>
          <w:lang w:eastAsia="en-US"/>
        </w:rPr>
        <w:t>industrial</w:t>
      </w:r>
      <w:r>
        <w:rPr>
          <w:rFonts w:ascii="Arial" w:hAnsi="Arial" w:cs="Arial"/>
          <w:iCs/>
          <w:color w:val="000000"/>
          <w:sz w:val="24"/>
          <w:szCs w:val="24"/>
          <w:lang w:eastAsia="en-US"/>
        </w:rPr>
        <w:t xml:space="preserve"> aquel cuyo </w:t>
      </w:r>
      <w:r w:rsidRPr="00301790">
        <w:rPr>
          <w:rFonts w:ascii="Arial" w:hAnsi="Arial" w:cs="Arial"/>
          <w:iCs/>
          <w:color w:val="000000"/>
          <w:sz w:val="24"/>
          <w:szCs w:val="24"/>
          <w:lang w:eastAsia="en-US"/>
        </w:rPr>
        <w:t xml:space="preserve">formato, tamaño, gramaje y forma </w:t>
      </w:r>
      <w:r>
        <w:rPr>
          <w:rFonts w:ascii="Arial" w:hAnsi="Arial" w:cs="Arial"/>
          <w:iCs/>
          <w:color w:val="000000"/>
          <w:sz w:val="24"/>
          <w:szCs w:val="24"/>
          <w:lang w:eastAsia="en-US"/>
        </w:rPr>
        <w:t xml:space="preserve">sea exclusivo e inequívoco para la comercialización del producto en el canal </w:t>
      </w:r>
      <w:r w:rsidR="00A4628A">
        <w:rPr>
          <w:rFonts w:ascii="Arial" w:hAnsi="Arial" w:cs="Arial"/>
          <w:iCs/>
          <w:color w:val="000000"/>
          <w:sz w:val="24"/>
          <w:szCs w:val="24"/>
          <w:lang w:eastAsia="en-US"/>
        </w:rPr>
        <w:t>industrial</w:t>
      </w:r>
      <w:r>
        <w:rPr>
          <w:rFonts w:ascii="Arial" w:hAnsi="Arial" w:cs="Arial"/>
          <w:iCs/>
          <w:color w:val="000000"/>
          <w:sz w:val="24"/>
          <w:szCs w:val="24"/>
          <w:lang w:eastAsia="en-US"/>
        </w:rPr>
        <w:t xml:space="preserve">, y </w:t>
      </w:r>
      <w:r w:rsidRPr="00301790">
        <w:rPr>
          <w:rFonts w:ascii="Arial" w:hAnsi="Arial" w:cs="Arial"/>
          <w:iCs/>
          <w:color w:val="000000"/>
          <w:sz w:val="24"/>
          <w:szCs w:val="24"/>
          <w:lang w:eastAsia="en-US"/>
        </w:rPr>
        <w:t xml:space="preserve">siempre que se garantice </w:t>
      </w:r>
      <w:r>
        <w:rPr>
          <w:rFonts w:ascii="Arial" w:hAnsi="Arial" w:cs="Arial"/>
          <w:iCs/>
          <w:color w:val="000000"/>
          <w:sz w:val="24"/>
          <w:szCs w:val="24"/>
          <w:lang w:eastAsia="en-US"/>
        </w:rPr>
        <w:t xml:space="preserve">la imposibilidad de ser adquirido </w:t>
      </w:r>
      <w:r w:rsidRPr="00301790">
        <w:rPr>
          <w:rFonts w:ascii="Arial" w:hAnsi="Arial" w:cs="Arial"/>
          <w:iCs/>
          <w:color w:val="000000"/>
          <w:sz w:val="24"/>
          <w:szCs w:val="24"/>
          <w:lang w:eastAsia="en-US"/>
        </w:rPr>
        <w:t>por el consumidor en los comercios</w:t>
      </w:r>
      <w:r>
        <w:rPr>
          <w:rFonts w:ascii="Arial" w:hAnsi="Arial" w:cs="Arial"/>
          <w:iCs/>
          <w:color w:val="000000"/>
          <w:sz w:val="24"/>
          <w:szCs w:val="24"/>
          <w:lang w:eastAsia="en-US"/>
        </w:rPr>
        <w:t>.</w:t>
      </w:r>
    </w:p>
    <w:p w14:paraId="7A94FF79" w14:textId="7EC625CC" w:rsidR="00A4628A" w:rsidRPr="00016909" w:rsidRDefault="00A4628A" w:rsidP="00A4628A">
      <w:pPr>
        <w:spacing w:after="240" w:line="259" w:lineRule="auto"/>
        <w:jc w:val="both"/>
        <w:rPr>
          <w:rFonts w:ascii="Arial" w:eastAsia="Calibri" w:hAnsi="Arial" w:cs="Arial"/>
          <w:b/>
          <w:i/>
          <w:iCs/>
          <w:sz w:val="24"/>
          <w:szCs w:val="24"/>
          <w:lang w:eastAsia="en-US"/>
        </w:rPr>
      </w:pPr>
      <w:r w:rsidRPr="00016909">
        <w:rPr>
          <w:rFonts w:ascii="Arial" w:eastAsia="Calibri" w:hAnsi="Arial" w:cs="Arial"/>
          <w:b/>
          <w:i/>
          <w:iCs/>
          <w:sz w:val="24"/>
          <w:szCs w:val="24"/>
          <w:lang w:eastAsia="en-US"/>
        </w:rPr>
        <w:t>2.</w:t>
      </w:r>
      <w:r>
        <w:rPr>
          <w:rFonts w:ascii="Arial" w:eastAsia="Calibri" w:hAnsi="Arial" w:cs="Arial"/>
          <w:b/>
          <w:i/>
          <w:iCs/>
          <w:sz w:val="24"/>
          <w:szCs w:val="24"/>
          <w:lang w:eastAsia="en-US"/>
        </w:rPr>
        <w:t>3</w:t>
      </w:r>
      <w:r w:rsidRPr="00016909">
        <w:rPr>
          <w:rFonts w:ascii="Arial" w:eastAsia="Calibri" w:hAnsi="Arial" w:cs="Arial"/>
          <w:b/>
          <w:i/>
          <w:iCs/>
          <w:sz w:val="24"/>
          <w:szCs w:val="24"/>
          <w:lang w:eastAsia="en-US"/>
        </w:rPr>
        <w:t xml:space="preserve"> Envase </w:t>
      </w:r>
      <w:r>
        <w:rPr>
          <w:rFonts w:ascii="Arial" w:eastAsia="Calibri" w:hAnsi="Arial" w:cs="Arial"/>
          <w:b/>
          <w:i/>
          <w:iCs/>
          <w:sz w:val="24"/>
          <w:szCs w:val="24"/>
          <w:lang w:eastAsia="en-US"/>
        </w:rPr>
        <w:t>comercial</w:t>
      </w:r>
      <w:r w:rsidRPr="00016909">
        <w:rPr>
          <w:rFonts w:ascii="Arial" w:eastAsia="Calibri" w:hAnsi="Arial" w:cs="Arial"/>
          <w:b/>
          <w:i/>
          <w:iCs/>
          <w:sz w:val="24"/>
          <w:szCs w:val="24"/>
          <w:lang w:eastAsia="en-US"/>
        </w:rPr>
        <w:t xml:space="preserve"> vs envase </w:t>
      </w:r>
      <w:r>
        <w:rPr>
          <w:rFonts w:ascii="Arial" w:eastAsia="Calibri" w:hAnsi="Arial" w:cs="Arial"/>
          <w:b/>
          <w:i/>
          <w:iCs/>
          <w:sz w:val="24"/>
          <w:szCs w:val="24"/>
          <w:lang w:eastAsia="en-US"/>
        </w:rPr>
        <w:t>industrial</w:t>
      </w:r>
    </w:p>
    <w:p w14:paraId="6AB148DA" w14:textId="66EC3449" w:rsidR="003C6230" w:rsidRDefault="003C6230" w:rsidP="00A4628A">
      <w:pPr>
        <w:spacing w:after="240" w:line="259" w:lineRule="auto"/>
        <w:jc w:val="both"/>
        <w:rPr>
          <w:rFonts w:ascii="Arial" w:eastAsia="Calibri" w:hAnsi="Arial" w:cs="Arial"/>
          <w:bCs/>
          <w:sz w:val="24"/>
          <w:szCs w:val="24"/>
          <w:lang w:eastAsia="en-US"/>
        </w:rPr>
      </w:pPr>
      <w:r w:rsidRPr="003C6230">
        <w:rPr>
          <w:rFonts w:ascii="Arial" w:eastAsia="Calibri" w:hAnsi="Arial" w:cs="Arial"/>
          <w:bCs/>
          <w:sz w:val="24"/>
          <w:szCs w:val="24"/>
          <w:lang w:eastAsia="en-US"/>
        </w:rPr>
        <w:t>Tendrán la consideración de envase comercial, aquellos que, sin tener la consideración de doméstico, estén destinado al uso y consumo propio del ejercicio de la actividad comercial</w:t>
      </w:r>
      <w:r>
        <w:rPr>
          <w:rFonts w:ascii="Arial" w:eastAsia="Calibri" w:hAnsi="Arial" w:cs="Arial"/>
          <w:bCs/>
          <w:sz w:val="24"/>
          <w:szCs w:val="24"/>
          <w:lang w:eastAsia="en-US"/>
        </w:rPr>
        <w:t>.</w:t>
      </w:r>
    </w:p>
    <w:p w14:paraId="4119CE00" w14:textId="4876247B" w:rsidR="00A4628A" w:rsidRDefault="003C6230" w:rsidP="00A4628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Por otra parte, t</w:t>
      </w:r>
      <w:r w:rsidR="00A4628A">
        <w:rPr>
          <w:rFonts w:ascii="Arial" w:eastAsia="Calibri" w:hAnsi="Arial" w:cs="Arial"/>
          <w:bCs/>
          <w:sz w:val="24"/>
          <w:szCs w:val="24"/>
          <w:lang w:eastAsia="en-US"/>
        </w:rPr>
        <w:t xml:space="preserve">endrán la consideración de envase industrial, aquellos que, </w:t>
      </w:r>
      <w:r w:rsidR="00A4628A" w:rsidRPr="00E04ECF">
        <w:rPr>
          <w:rFonts w:ascii="Arial" w:eastAsia="Calibri" w:hAnsi="Arial" w:cs="Arial"/>
          <w:bCs/>
          <w:sz w:val="24"/>
          <w:szCs w:val="24"/>
          <w:lang w:eastAsia="en-US"/>
        </w:rPr>
        <w:t>sin tener la consideración de doméstico</w:t>
      </w:r>
      <w:r w:rsidR="00A4628A">
        <w:rPr>
          <w:rFonts w:ascii="Arial" w:eastAsia="Calibri" w:hAnsi="Arial" w:cs="Arial"/>
          <w:bCs/>
          <w:sz w:val="24"/>
          <w:szCs w:val="24"/>
          <w:lang w:eastAsia="en-US"/>
        </w:rPr>
        <w:t xml:space="preserve"> o comercial</w:t>
      </w:r>
      <w:r w:rsidR="00A4628A" w:rsidRPr="00E04ECF">
        <w:rPr>
          <w:rFonts w:ascii="Arial" w:eastAsia="Calibri" w:hAnsi="Arial" w:cs="Arial"/>
          <w:bCs/>
          <w:sz w:val="24"/>
          <w:szCs w:val="24"/>
          <w:lang w:eastAsia="en-US"/>
        </w:rPr>
        <w:t>, est</w:t>
      </w:r>
      <w:r w:rsidR="00A4628A">
        <w:rPr>
          <w:rFonts w:ascii="Arial" w:eastAsia="Calibri" w:hAnsi="Arial" w:cs="Arial"/>
          <w:bCs/>
          <w:sz w:val="24"/>
          <w:szCs w:val="24"/>
          <w:lang w:eastAsia="en-US"/>
        </w:rPr>
        <w:t>én</w:t>
      </w:r>
      <w:r w:rsidR="00A4628A" w:rsidRPr="00E04ECF">
        <w:rPr>
          <w:rFonts w:ascii="Arial" w:eastAsia="Calibri" w:hAnsi="Arial" w:cs="Arial"/>
          <w:bCs/>
          <w:sz w:val="24"/>
          <w:szCs w:val="24"/>
          <w:lang w:eastAsia="en-US"/>
        </w:rPr>
        <w:t xml:space="preserve"> destinado </w:t>
      </w:r>
      <w:r w:rsidR="00A4628A" w:rsidRPr="00FD25A7">
        <w:rPr>
          <w:rFonts w:ascii="Arial" w:eastAsia="Calibri" w:hAnsi="Arial" w:cs="Arial"/>
          <w:bCs/>
          <w:sz w:val="24"/>
          <w:szCs w:val="24"/>
          <w:lang w:eastAsia="en-US"/>
        </w:rPr>
        <w:t>al uso y consumo propio del ejercicio de la actividad económica de las industrias, explotaciones agrícolas, ganaderas, forestales o acuícolas</w:t>
      </w:r>
      <w:r w:rsidR="00A4628A">
        <w:rPr>
          <w:rFonts w:ascii="Arial" w:eastAsia="Calibri" w:hAnsi="Arial" w:cs="Arial"/>
          <w:bCs/>
          <w:sz w:val="24"/>
          <w:szCs w:val="24"/>
          <w:lang w:eastAsia="en-US"/>
        </w:rPr>
        <w:t>.</w:t>
      </w:r>
    </w:p>
    <w:p w14:paraId="0248693C" w14:textId="74FB6A48" w:rsidR="00A4628A" w:rsidRDefault="008C0EEF" w:rsidP="00A4628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Por tanto</w:t>
      </w:r>
      <w:r w:rsidR="00A4628A" w:rsidRPr="00A4628A">
        <w:rPr>
          <w:rFonts w:ascii="Arial" w:eastAsia="Calibri" w:hAnsi="Arial" w:cs="Arial"/>
          <w:bCs/>
          <w:sz w:val="24"/>
          <w:szCs w:val="24"/>
          <w:lang w:eastAsia="en-US"/>
        </w:rPr>
        <w:t xml:space="preserve">, para tener la consideración de envase industrial no puede estar incluido en </w:t>
      </w:r>
      <w:r w:rsidR="008B7432">
        <w:rPr>
          <w:rFonts w:ascii="Arial" w:eastAsia="Calibri" w:hAnsi="Arial" w:cs="Arial"/>
          <w:bCs/>
          <w:sz w:val="24"/>
          <w:szCs w:val="24"/>
          <w:lang w:eastAsia="en-US"/>
        </w:rPr>
        <w:t xml:space="preserve">la categoría </w:t>
      </w:r>
      <w:r w:rsidR="00587676">
        <w:rPr>
          <w:rFonts w:ascii="Arial" w:eastAsia="Calibri" w:hAnsi="Arial" w:cs="Arial"/>
          <w:bCs/>
          <w:sz w:val="24"/>
          <w:szCs w:val="24"/>
          <w:lang w:eastAsia="en-US"/>
        </w:rPr>
        <w:t xml:space="preserve">de envases </w:t>
      </w:r>
      <w:r w:rsidR="008B7432">
        <w:rPr>
          <w:rFonts w:ascii="Arial" w:eastAsia="Calibri" w:hAnsi="Arial" w:cs="Arial"/>
          <w:bCs/>
          <w:sz w:val="24"/>
          <w:szCs w:val="24"/>
          <w:lang w:eastAsia="en-US"/>
        </w:rPr>
        <w:t>doméstic</w:t>
      </w:r>
      <w:r w:rsidR="00587676">
        <w:rPr>
          <w:rFonts w:ascii="Arial" w:eastAsia="Calibri" w:hAnsi="Arial" w:cs="Arial"/>
          <w:bCs/>
          <w:sz w:val="24"/>
          <w:szCs w:val="24"/>
          <w:lang w:eastAsia="en-US"/>
        </w:rPr>
        <w:t>o</w:t>
      </w:r>
      <w:r w:rsidR="008B7432">
        <w:rPr>
          <w:rFonts w:ascii="Arial" w:eastAsia="Calibri" w:hAnsi="Arial" w:cs="Arial"/>
          <w:bCs/>
          <w:sz w:val="24"/>
          <w:szCs w:val="24"/>
          <w:lang w:eastAsia="en-US"/>
        </w:rPr>
        <w:t xml:space="preserve"> ni comercial</w:t>
      </w:r>
      <w:r w:rsidR="00A4628A">
        <w:rPr>
          <w:rFonts w:ascii="Arial" w:eastAsia="Calibri" w:hAnsi="Arial" w:cs="Arial"/>
          <w:bCs/>
          <w:sz w:val="24"/>
          <w:szCs w:val="24"/>
          <w:lang w:eastAsia="en-US"/>
        </w:rPr>
        <w:t xml:space="preserve">. </w:t>
      </w:r>
    </w:p>
    <w:p w14:paraId="04CAB78C" w14:textId="3BCEBC7F" w:rsidR="00A4628A" w:rsidRDefault="008C0EEF" w:rsidP="00A4628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En este sentido</w:t>
      </w:r>
      <w:r w:rsidR="00A4628A" w:rsidRPr="00E53630">
        <w:rPr>
          <w:rFonts w:ascii="Arial" w:eastAsia="Calibri" w:hAnsi="Arial" w:cs="Arial"/>
          <w:bCs/>
          <w:sz w:val="24"/>
          <w:szCs w:val="24"/>
          <w:lang w:eastAsia="en-US"/>
        </w:rPr>
        <w:t xml:space="preserve">, </w:t>
      </w:r>
      <w:r w:rsidR="00A4628A" w:rsidRPr="003C6230">
        <w:rPr>
          <w:rFonts w:ascii="Arial" w:eastAsia="Calibri" w:hAnsi="Arial" w:cs="Arial"/>
          <w:bCs/>
          <w:sz w:val="24"/>
          <w:szCs w:val="24"/>
          <w:lang w:eastAsia="en-US"/>
        </w:rPr>
        <w:t xml:space="preserve">tendrán la consideración de envase comercial, aquellos </w:t>
      </w:r>
      <w:r w:rsidR="003C6230" w:rsidRPr="003C6230">
        <w:rPr>
          <w:rFonts w:ascii="Arial" w:eastAsia="Calibri" w:hAnsi="Arial" w:cs="Arial"/>
          <w:bCs/>
          <w:sz w:val="24"/>
          <w:szCs w:val="24"/>
          <w:lang w:eastAsia="en-US"/>
        </w:rPr>
        <w:t>que,</w:t>
      </w:r>
      <w:r w:rsidR="00A4628A" w:rsidRPr="003C6230">
        <w:rPr>
          <w:rFonts w:ascii="Arial" w:eastAsia="Calibri" w:hAnsi="Arial" w:cs="Arial"/>
          <w:bCs/>
          <w:sz w:val="24"/>
          <w:szCs w:val="24"/>
          <w:lang w:eastAsia="en-US"/>
        </w:rPr>
        <w:t xml:space="preserve"> sin ser domésticos, estén destinados al uso y consumo propio de las actividades económicas </w:t>
      </w:r>
      <w:r w:rsidR="003C6230" w:rsidRPr="003C6230">
        <w:rPr>
          <w:rFonts w:ascii="Arial" w:eastAsia="Calibri" w:hAnsi="Arial" w:cs="Arial"/>
          <w:bCs/>
          <w:sz w:val="24"/>
          <w:szCs w:val="24"/>
          <w:lang w:eastAsia="en-US"/>
        </w:rPr>
        <w:t>clasificadas en las secciones G a U de la NACE rev. 2</w:t>
      </w:r>
      <w:r w:rsidR="003C6230">
        <w:rPr>
          <w:rFonts w:ascii="Arial" w:eastAsia="Calibri" w:hAnsi="Arial" w:cs="Arial"/>
          <w:bCs/>
          <w:sz w:val="24"/>
          <w:szCs w:val="24"/>
          <w:lang w:eastAsia="en-US"/>
        </w:rPr>
        <w:t xml:space="preserve"> (véase apartado 2.1).</w:t>
      </w:r>
    </w:p>
    <w:p w14:paraId="6A7CA005" w14:textId="0B6C6249" w:rsidR="003C6230" w:rsidRDefault="008C0EEF" w:rsidP="00A4628A">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En consecuencia</w:t>
      </w:r>
      <w:r w:rsidR="003C6230">
        <w:rPr>
          <w:rFonts w:ascii="Arial" w:eastAsia="Calibri" w:hAnsi="Arial" w:cs="Arial"/>
          <w:bCs/>
          <w:sz w:val="24"/>
          <w:szCs w:val="24"/>
          <w:lang w:eastAsia="en-US"/>
        </w:rPr>
        <w:t xml:space="preserve">, tendrá la consideración de envase industrial, </w:t>
      </w:r>
      <w:r w:rsidR="003C6230" w:rsidRPr="003C6230">
        <w:rPr>
          <w:rFonts w:ascii="Arial" w:eastAsia="Calibri" w:hAnsi="Arial" w:cs="Arial"/>
          <w:bCs/>
          <w:sz w:val="24"/>
          <w:szCs w:val="24"/>
          <w:u w:val="single"/>
          <w:lang w:eastAsia="en-US"/>
        </w:rPr>
        <w:t xml:space="preserve">aquellos que, sin ser domésticos, estén destinados al uso y consumo propio del ejercicio de las actividades económicas </w:t>
      </w:r>
      <w:r w:rsidR="003C6230" w:rsidRPr="008C0EEF">
        <w:rPr>
          <w:rFonts w:ascii="Arial" w:eastAsia="Calibri" w:hAnsi="Arial" w:cs="Arial"/>
          <w:b/>
          <w:sz w:val="24"/>
          <w:szCs w:val="24"/>
          <w:u w:val="single"/>
          <w:lang w:eastAsia="en-US"/>
        </w:rPr>
        <w:t>distintas</w:t>
      </w:r>
      <w:r w:rsidR="003C6230" w:rsidRPr="003C6230">
        <w:rPr>
          <w:rFonts w:ascii="Arial" w:eastAsia="Calibri" w:hAnsi="Arial" w:cs="Arial"/>
          <w:bCs/>
          <w:sz w:val="24"/>
          <w:szCs w:val="24"/>
          <w:u w:val="single"/>
          <w:lang w:eastAsia="en-US"/>
        </w:rPr>
        <w:t xml:space="preserve"> a las clasificadas en las secciones G a U de la NACE rev. 2</w:t>
      </w:r>
      <w:r w:rsidR="003C6230">
        <w:rPr>
          <w:rFonts w:ascii="Arial" w:eastAsia="Calibri" w:hAnsi="Arial" w:cs="Arial"/>
          <w:bCs/>
          <w:sz w:val="24"/>
          <w:szCs w:val="24"/>
          <w:lang w:eastAsia="en-US"/>
        </w:rPr>
        <w:t>.</w:t>
      </w:r>
    </w:p>
    <w:p w14:paraId="60DC0313" w14:textId="77777777" w:rsidR="00CD6898" w:rsidRDefault="00CD6898" w:rsidP="003C6230">
      <w:pPr>
        <w:spacing w:after="240" w:line="259" w:lineRule="auto"/>
        <w:jc w:val="both"/>
        <w:rPr>
          <w:rFonts w:ascii="Arial" w:eastAsia="Calibri" w:hAnsi="Arial" w:cs="Arial"/>
          <w:bCs/>
          <w:sz w:val="24"/>
          <w:szCs w:val="24"/>
          <w:lang w:eastAsia="en-US"/>
        </w:rPr>
      </w:pPr>
      <w:r>
        <w:rPr>
          <w:rFonts w:ascii="Arial" w:eastAsia="Calibri" w:hAnsi="Arial" w:cs="Arial"/>
          <w:bCs/>
          <w:sz w:val="24"/>
          <w:szCs w:val="24"/>
          <w:lang w:eastAsia="en-US"/>
        </w:rPr>
        <w:t>E</w:t>
      </w:r>
      <w:r w:rsidR="003C6230">
        <w:rPr>
          <w:rFonts w:ascii="Arial" w:eastAsia="Calibri" w:hAnsi="Arial" w:cs="Arial"/>
          <w:bCs/>
          <w:sz w:val="24"/>
          <w:szCs w:val="24"/>
          <w:lang w:eastAsia="en-US"/>
        </w:rPr>
        <w:t>sta SG entiende que</w:t>
      </w:r>
      <w:r>
        <w:rPr>
          <w:rFonts w:ascii="Arial" w:eastAsia="Calibri" w:hAnsi="Arial" w:cs="Arial"/>
          <w:bCs/>
          <w:sz w:val="24"/>
          <w:szCs w:val="24"/>
          <w:lang w:eastAsia="en-US"/>
        </w:rPr>
        <w:t>:</w:t>
      </w:r>
      <w:r w:rsidR="003C6230">
        <w:rPr>
          <w:rFonts w:ascii="Arial" w:eastAsia="Calibri" w:hAnsi="Arial" w:cs="Arial"/>
          <w:bCs/>
          <w:sz w:val="24"/>
          <w:szCs w:val="24"/>
          <w:lang w:eastAsia="en-US"/>
        </w:rPr>
        <w:t xml:space="preserve"> </w:t>
      </w:r>
    </w:p>
    <w:p w14:paraId="37B0494D" w14:textId="383A9C29" w:rsidR="003C6230" w:rsidRDefault="00CD6898" w:rsidP="00CD6898">
      <w:pPr>
        <w:pStyle w:val="Prrafodelista"/>
        <w:numPr>
          <w:ilvl w:val="0"/>
          <w:numId w:val="21"/>
        </w:numPr>
        <w:autoSpaceDE w:val="0"/>
        <w:autoSpaceDN w:val="0"/>
        <w:adjustRightInd w:val="0"/>
        <w:spacing w:after="240" w:line="259" w:lineRule="auto"/>
        <w:contextualSpacing w:val="0"/>
        <w:jc w:val="both"/>
        <w:rPr>
          <w:rFonts w:ascii="Arial" w:hAnsi="Arial" w:cs="Arial"/>
          <w:iCs/>
          <w:color w:val="000000"/>
          <w:sz w:val="24"/>
          <w:szCs w:val="24"/>
        </w:rPr>
      </w:pPr>
      <w:r>
        <w:rPr>
          <w:rFonts w:ascii="Arial" w:hAnsi="Arial" w:cs="Arial"/>
          <w:bCs/>
          <w:sz w:val="24"/>
          <w:szCs w:val="24"/>
        </w:rPr>
        <w:t>A</w:t>
      </w:r>
      <w:r w:rsidR="003C6230" w:rsidRPr="003C6230">
        <w:rPr>
          <w:rFonts w:ascii="Arial" w:hAnsi="Arial" w:cs="Arial"/>
          <w:iCs/>
          <w:color w:val="000000"/>
          <w:sz w:val="24"/>
          <w:szCs w:val="24"/>
        </w:rPr>
        <w:t xml:space="preserve">quel producto envasado destinado al canal industrial </w:t>
      </w:r>
      <w:r w:rsidR="003C6230">
        <w:rPr>
          <w:rFonts w:ascii="Arial" w:hAnsi="Arial" w:cs="Arial"/>
          <w:iCs/>
          <w:color w:val="000000"/>
          <w:sz w:val="24"/>
          <w:szCs w:val="24"/>
        </w:rPr>
        <w:t xml:space="preserve">en un envase que también pueda ser utilizado para productos destinados al canal comercial, no garantizándose la trazabilidad del envase de forma diferenciada en ambos canales, </w:t>
      </w:r>
      <w:r w:rsidR="003C6230" w:rsidRPr="003C6230">
        <w:rPr>
          <w:rFonts w:ascii="Arial" w:hAnsi="Arial" w:cs="Arial"/>
          <w:b/>
          <w:bCs/>
          <w:iCs/>
          <w:color w:val="000000"/>
          <w:sz w:val="24"/>
          <w:szCs w:val="24"/>
        </w:rPr>
        <w:t>será un producto envasado en envase comercial</w:t>
      </w:r>
      <w:r w:rsidR="003C6230">
        <w:rPr>
          <w:rFonts w:ascii="Arial" w:hAnsi="Arial" w:cs="Arial"/>
          <w:iCs/>
          <w:color w:val="000000"/>
          <w:sz w:val="24"/>
          <w:szCs w:val="24"/>
        </w:rPr>
        <w:t>.</w:t>
      </w:r>
    </w:p>
    <w:p w14:paraId="749887A3" w14:textId="261E0567" w:rsidR="00AA2FAB" w:rsidRDefault="003C6230" w:rsidP="00CD6898">
      <w:pPr>
        <w:spacing w:after="240" w:line="259" w:lineRule="auto"/>
        <w:ind w:left="420"/>
        <w:jc w:val="both"/>
        <w:rPr>
          <w:rFonts w:ascii="Arial" w:hAnsi="Arial" w:cs="Arial"/>
          <w:bCs/>
          <w:i/>
          <w:iCs/>
          <w:color w:val="000000"/>
          <w:sz w:val="24"/>
          <w:szCs w:val="24"/>
          <w:lang w:eastAsia="en-US"/>
        </w:rPr>
      </w:pPr>
      <w:r w:rsidRPr="00E14F93">
        <w:rPr>
          <w:rFonts w:ascii="Arial" w:hAnsi="Arial" w:cs="Arial"/>
          <w:bCs/>
          <w:i/>
          <w:iCs/>
          <w:color w:val="000000"/>
          <w:sz w:val="24"/>
          <w:szCs w:val="24"/>
          <w:lang w:eastAsia="en-US"/>
        </w:rPr>
        <w:t>Ejemplo: un</w:t>
      </w:r>
      <w:r w:rsidR="001B75E6">
        <w:rPr>
          <w:rFonts w:ascii="Arial" w:hAnsi="Arial" w:cs="Arial"/>
          <w:bCs/>
          <w:i/>
          <w:iCs/>
          <w:color w:val="000000"/>
          <w:sz w:val="24"/>
          <w:szCs w:val="24"/>
          <w:lang w:eastAsia="en-US"/>
        </w:rPr>
        <w:t>a bombona reu</w:t>
      </w:r>
      <w:r w:rsidR="00AA2FAB">
        <w:rPr>
          <w:rFonts w:ascii="Arial" w:hAnsi="Arial" w:cs="Arial"/>
          <w:bCs/>
          <w:i/>
          <w:iCs/>
          <w:color w:val="000000"/>
          <w:sz w:val="24"/>
          <w:szCs w:val="24"/>
          <w:lang w:eastAsia="en-US"/>
        </w:rPr>
        <w:t xml:space="preserve">tilizable </w:t>
      </w:r>
      <w:r w:rsidR="00CD6898">
        <w:rPr>
          <w:rFonts w:ascii="Arial" w:hAnsi="Arial" w:cs="Arial"/>
          <w:bCs/>
          <w:i/>
          <w:iCs/>
          <w:color w:val="000000"/>
          <w:sz w:val="24"/>
          <w:szCs w:val="24"/>
          <w:lang w:eastAsia="en-US"/>
        </w:rPr>
        <w:t xml:space="preserve">de 50 litros </w:t>
      </w:r>
      <w:r w:rsidR="00AA2FAB">
        <w:rPr>
          <w:rFonts w:ascii="Arial" w:hAnsi="Arial" w:cs="Arial"/>
          <w:bCs/>
          <w:i/>
          <w:iCs/>
          <w:color w:val="000000"/>
          <w:sz w:val="24"/>
          <w:szCs w:val="24"/>
          <w:lang w:eastAsia="en-US"/>
        </w:rPr>
        <w:t xml:space="preserve">con oxígeno </w:t>
      </w:r>
      <w:r w:rsidR="0074395C">
        <w:rPr>
          <w:rFonts w:ascii="Arial" w:hAnsi="Arial" w:cs="Arial"/>
          <w:bCs/>
          <w:i/>
          <w:iCs/>
          <w:color w:val="000000"/>
          <w:sz w:val="24"/>
          <w:szCs w:val="24"/>
          <w:lang w:eastAsia="en-US"/>
        </w:rPr>
        <w:t xml:space="preserve">comprimido </w:t>
      </w:r>
      <w:r w:rsidR="00AA2FAB">
        <w:rPr>
          <w:rFonts w:ascii="Arial" w:hAnsi="Arial" w:cs="Arial"/>
          <w:bCs/>
          <w:i/>
          <w:iCs/>
          <w:color w:val="000000"/>
          <w:sz w:val="24"/>
          <w:szCs w:val="24"/>
          <w:lang w:eastAsia="en-US"/>
        </w:rPr>
        <w:t xml:space="preserve">que se distribuye indistintamente para uso médico en hospitales (envase comercial) y para uso en la actividad industrial (envase industrial), siempre que </w:t>
      </w:r>
      <w:r w:rsidR="008C0EEF">
        <w:rPr>
          <w:rFonts w:ascii="Arial" w:hAnsi="Arial" w:cs="Arial"/>
          <w:bCs/>
          <w:i/>
          <w:iCs/>
          <w:color w:val="000000"/>
          <w:sz w:val="24"/>
          <w:szCs w:val="24"/>
          <w:lang w:eastAsia="en-US"/>
        </w:rPr>
        <w:t>no</w:t>
      </w:r>
      <w:r w:rsidR="00AA2FAB">
        <w:rPr>
          <w:rFonts w:ascii="Arial" w:hAnsi="Arial" w:cs="Arial"/>
          <w:bCs/>
          <w:i/>
          <w:iCs/>
          <w:color w:val="000000"/>
          <w:sz w:val="24"/>
          <w:szCs w:val="24"/>
          <w:lang w:eastAsia="en-US"/>
        </w:rPr>
        <w:t xml:space="preserve"> pueda garantizarse la trazabilidad diferenciada entre ambos canales.</w:t>
      </w:r>
    </w:p>
    <w:p w14:paraId="56B2D73B" w14:textId="0A120FEF" w:rsidR="00CD6898" w:rsidRDefault="00CD6898" w:rsidP="00CD6898">
      <w:pPr>
        <w:pStyle w:val="Prrafodelista"/>
        <w:numPr>
          <w:ilvl w:val="0"/>
          <w:numId w:val="21"/>
        </w:numPr>
        <w:autoSpaceDE w:val="0"/>
        <w:autoSpaceDN w:val="0"/>
        <w:adjustRightInd w:val="0"/>
        <w:spacing w:after="240" w:line="259" w:lineRule="auto"/>
        <w:contextualSpacing w:val="0"/>
        <w:jc w:val="both"/>
        <w:rPr>
          <w:rFonts w:ascii="Arial" w:hAnsi="Arial" w:cs="Arial"/>
          <w:bCs/>
          <w:color w:val="000000"/>
          <w:sz w:val="24"/>
          <w:szCs w:val="24"/>
        </w:rPr>
      </w:pPr>
      <w:r>
        <w:rPr>
          <w:rFonts w:ascii="Arial" w:hAnsi="Arial" w:cs="Arial"/>
          <w:bCs/>
          <w:color w:val="000000"/>
          <w:sz w:val="24"/>
          <w:szCs w:val="24"/>
        </w:rPr>
        <w:t>No obstante</w:t>
      </w:r>
      <w:r w:rsidR="0074395C">
        <w:rPr>
          <w:rFonts w:ascii="Arial" w:hAnsi="Arial" w:cs="Arial"/>
          <w:bCs/>
          <w:color w:val="000000"/>
          <w:sz w:val="24"/>
          <w:szCs w:val="24"/>
        </w:rPr>
        <w:t>,</w:t>
      </w:r>
      <w:r>
        <w:rPr>
          <w:rFonts w:ascii="Arial" w:hAnsi="Arial" w:cs="Arial"/>
          <w:bCs/>
          <w:color w:val="000000"/>
          <w:sz w:val="24"/>
          <w:szCs w:val="24"/>
        </w:rPr>
        <w:t xml:space="preserve"> si el mismo envase se utiliza para distintas actividades económicas</w:t>
      </w:r>
      <w:r w:rsidR="0074395C">
        <w:rPr>
          <w:rFonts w:ascii="Arial" w:hAnsi="Arial" w:cs="Arial"/>
          <w:bCs/>
          <w:color w:val="000000"/>
          <w:sz w:val="24"/>
          <w:szCs w:val="24"/>
        </w:rPr>
        <w:t xml:space="preserve"> (comerciales e industriales)</w:t>
      </w:r>
      <w:r>
        <w:rPr>
          <w:rFonts w:ascii="Arial" w:hAnsi="Arial" w:cs="Arial"/>
          <w:bCs/>
          <w:color w:val="000000"/>
          <w:sz w:val="24"/>
          <w:szCs w:val="24"/>
        </w:rPr>
        <w:t xml:space="preserve">, pero se garantiza </w:t>
      </w:r>
      <w:r w:rsidR="0074395C">
        <w:rPr>
          <w:rFonts w:ascii="Arial" w:hAnsi="Arial" w:cs="Arial"/>
          <w:bCs/>
          <w:color w:val="000000"/>
          <w:sz w:val="24"/>
          <w:szCs w:val="24"/>
        </w:rPr>
        <w:t>su</w:t>
      </w:r>
      <w:r>
        <w:rPr>
          <w:rFonts w:ascii="Arial" w:hAnsi="Arial" w:cs="Arial"/>
          <w:bCs/>
          <w:color w:val="000000"/>
          <w:sz w:val="24"/>
          <w:szCs w:val="24"/>
        </w:rPr>
        <w:t xml:space="preserve"> trazabilidad</w:t>
      </w:r>
      <w:r w:rsidR="008C0EEF">
        <w:rPr>
          <w:rFonts w:ascii="Arial" w:hAnsi="Arial" w:cs="Arial"/>
          <w:bCs/>
          <w:color w:val="000000"/>
          <w:sz w:val="24"/>
          <w:szCs w:val="24"/>
        </w:rPr>
        <w:t xml:space="preserve"> y diferenciación del canal</w:t>
      </w:r>
      <w:r>
        <w:rPr>
          <w:rFonts w:ascii="Arial" w:hAnsi="Arial" w:cs="Arial"/>
          <w:bCs/>
          <w:color w:val="000000"/>
          <w:sz w:val="24"/>
          <w:szCs w:val="24"/>
        </w:rPr>
        <w:t>, tendrá la consideración de comercial o industrial en función de lo señalado en este capítulo.</w:t>
      </w:r>
    </w:p>
    <w:p w14:paraId="4300D0F6" w14:textId="3EE69B60" w:rsidR="00CD6898" w:rsidRPr="008C0EEF" w:rsidRDefault="00CD6898" w:rsidP="0074395C">
      <w:pPr>
        <w:spacing w:after="240" w:line="259" w:lineRule="auto"/>
        <w:ind w:left="420"/>
        <w:jc w:val="both"/>
        <w:rPr>
          <w:rFonts w:ascii="Arial" w:hAnsi="Arial" w:cs="Arial"/>
          <w:bCs/>
          <w:i/>
          <w:iCs/>
          <w:color w:val="000000"/>
          <w:sz w:val="24"/>
          <w:szCs w:val="24"/>
          <w:lang w:eastAsia="en-US"/>
        </w:rPr>
      </w:pPr>
      <w:r w:rsidRPr="00E14F93">
        <w:rPr>
          <w:rFonts w:ascii="Arial" w:hAnsi="Arial" w:cs="Arial"/>
          <w:bCs/>
          <w:i/>
          <w:iCs/>
          <w:color w:val="000000"/>
          <w:sz w:val="24"/>
          <w:szCs w:val="24"/>
          <w:lang w:eastAsia="en-US"/>
        </w:rPr>
        <w:t>Ejemplo: un</w:t>
      </w:r>
      <w:r>
        <w:rPr>
          <w:rFonts w:ascii="Arial" w:hAnsi="Arial" w:cs="Arial"/>
          <w:bCs/>
          <w:i/>
          <w:iCs/>
          <w:color w:val="000000"/>
          <w:sz w:val="24"/>
          <w:szCs w:val="24"/>
          <w:lang w:eastAsia="en-US"/>
        </w:rPr>
        <w:t xml:space="preserve"> palé reutilizable utilizado en la venta al por mayor tendrá la consideración de envase </w:t>
      </w:r>
      <w:r w:rsidR="008C0EEF">
        <w:rPr>
          <w:rFonts w:ascii="Arial" w:hAnsi="Arial" w:cs="Arial"/>
          <w:bCs/>
          <w:i/>
          <w:iCs/>
          <w:color w:val="000000"/>
          <w:sz w:val="24"/>
          <w:szCs w:val="24"/>
          <w:lang w:eastAsia="en-US"/>
        </w:rPr>
        <w:t>comercial</w:t>
      </w:r>
      <w:r w:rsidR="0074395C">
        <w:rPr>
          <w:rFonts w:ascii="Arial" w:hAnsi="Arial" w:cs="Arial"/>
          <w:bCs/>
          <w:i/>
          <w:iCs/>
          <w:color w:val="000000"/>
          <w:sz w:val="24"/>
          <w:szCs w:val="24"/>
          <w:lang w:eastAsia="en-US"/>
        </w:rPr>
        <w:t>, y si se utiliza para la distribución de material de construcción para obra civil tendrá la consideración de envase industrial.</w:t>
      </w:r>
    </w:p>
    <w:p w14:paraId="084B0055" w14:textId="77777777" w:rsidR="00FD25A7" w:rsidRPr="003B3CF5" w:rsidRDefault="00FD25A7" w:rsidP="0060757A">
      <w:pPr>
        <w:spacing w:after="240" w:line="259" w:lineRule="auto"/>
        <w:jc w:val="both"/>
        <w:rPr>
          <w:rFonts w:ascii="Arial" w:hAnsi="Arial" w:cs="Arial"/>
          <w:iCs/>
          <w:color w:val="000000"/>
          <w:sz w:val="24"/>
          <w:szCs w:val="24"/>
          <w:lang w:eastAsia="en-US"/>
        </w:rPr>
      </w:pPr>
    </w:p>
    <w:p w14:paraId="6BC34BF2" w14:textId="3103953E" w:rsidR="00972FE4" w:rsidRPr="002F0F71" w:rsidRDefault="00972FE4" w:rsidP="00972FE4">
      <w:pPr>
        <w:spacing w:after="160" w:line="259" w:lineRule="auto"/>
        <w:jc w:val="both"/>
        <w:rPr>
          <w:rFonts w:ascii="Calibri" w:eastAsia="Calibri" w:hAnsi="Calibri"/>
          <w:lang w:eastAsia="en-US"/>
        </w:rPr>
      </w:pPr>
      <w:r w:rsidRPr="002F0F71">
        <w:rPr>
          <w:rFonts w:ascii="Calibri" w:eastAsia="Calibri" w:hAnsi="Calibri"/>
          <w:i/>
          <w:iCs/>
          <w:lang w:eastAsia="en-US"/>
        </w:rPr>
        <w:t>Esta nota, que refleja el punto de vista de esta Subdirección General, no tiene carácter vinculante ni de ella pueden derivarse responsabilidades de ningún tipo. La interpretación auténtica de las normas, en las cuestiones que son competencia de esta Subdirección General, corresponde a los órganos jurisdiccionales, de acuerdo con el artículo 117 de la Constitución y con la Ley Orgánica 6/1985, de 1 de julio, del Poder Judicial.</w:t>
      </w:r>
    </w:p>
    <w:sectPr w:rsidR="00972FE4" w:rsidRPr="002F0F71" w:rsidSect="00940526">
      <w:headerReference w:type="default" r:id="rId11"/>
      <w:footerReference w:type="even" r:id="rId12"/>
      <w:footerReference w:type="default" r:id="rId13"/>
      <w:headerReference w:type="first" r:id="rId14"/>
      <w:footerReference w:type="first" r:id="rId15"/>
      <w:pgSz w:w="11906" w:h="16838" w:code="9"/>
      <w:pgMar w:top="2127" w:right="1134" w:bottom="1418" w:left="1418" w:header="5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376C2" w14:textId="77777777" w:rsidR="008D541E" w:rsidRDefault="008D541E">
      <w:r>
        <w:separator/>
      </w:r>
    </w:p>
  </w:endnote>
  <w:endnote w:type="continuationSeparator" w:id="0">
    <w:p w14:paraId="44772765" w14:textId="77777777" w:rsidR="008D541E" w:rsidRDefault="008D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B322E" w14:textId="77777777" w:rsidR="008E5EA2" w:rsidRDefault="008E5EA2" w:rsidP="00CE3C1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F0BE25" w14:textId="77777777" w:rsidR="008E5EA2" w:rsidRDefault="008E5EA2" w:rsidP="000236F4">
    <w:pPr>
      <w:pStyle w:val="Piedepgina"/>
      <w:ind w:right="360"/>
    </w:pPr>
  </w:p>
  <w:p w14:paraId="14BB4419" w14:textId="77777777" w:rsidR="008E5EA2" w:rsidRDefault="008E5EA2"/>
  <w:p w14:paraId="6F301E77" w14:textId="77777777" w:rsidR="008E5EA2" w:rsidRDefault="008E5EA2"/>
  <w:p w14:paraId="240D9B97" w14:textId="77777777" w:rsidR="008E5EA2" w:rsidRDefault="008E5E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294264"/>
      <w:docPartObj>
        <w:docPartGallery w:val="Page Numbers (Bottom of Page)"/>
        <w:docPartUnique/>
      </w:docPartObj>
    </w:sdtPr>
    <w:sdtEndPr/>
    <w:sdtContent>
      <w:p w14:paraId="77E509AB" w14:textId="42F7757E" w:rsidR="00B132BD" w:rsidRDefault="00B132BD">
        <w:pPr>
          <w:pStyle w:val="Piedepgina"/>
          <w:jc w:val="right"/>
        </w:pPr>
        <w:r>
          <w:fldChar w:fldCharType="begin"/>
        </w:r>
        <w:r>
          <w:instrText>PAGE   \* MERGEFORMAT</w:instrText>
        </w:r>
        <w:r>
          <w:fldChar w:fldCharType="separate"/>
        </w:r>
        <w:r w:rsidR="001C3C94">
          <w:rPr>
            <w:noProof/>
          </w:rPr>
          <w:t>2</w:t>
        </w:r>
        <w:r>
          <w:fldChar w:fldCharType="end"/>
        </w:r>
      </w:p>
    </w:sdtContent>
  </w:sdt>
  <w:p w14:paraId="58394A5F" w14:textId="77777777" w:rsidR="008E5EA2" w:rsidRDefault="008E5EA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560389"/>
      <w:docPartObj>
        <w:docPartGallery w:val="Page Numbers (Bottom of Page)"/>
        <w:docPartUnique/>
      </w:docPartObj>
    </w:sdtPr>
    <w:sdtEndPr/>
    <w:sdtContent>
      <w:p w14:paraId="0BC1DD10" w14:textId="2FC307AA" w:rsidR="00DF4DA9" w:rsidRDefault="00DF4DA9">
        <w:pPr>
          <w:pStyle w:val="Piedepgina"/>
          <w:jc w:val="center"/>
        </w:pPr>
        <w:r>
          <w:fldChar w:fldCharType="begin"/>
        </w:r>
        <w:r>
          <w:instrText>PAGE   \* MERGEFORMAT</w:instrText>
        </w:r>
        <w:r>
          <w:fldChar w:fldCharType="separate"/>
        </w:r>
        <w:r w:rsidR="001C3C94">
          <w:rPr>
            <w:noProof/>
          </w:rPr>
          <w:t>1</w:t>
        </w:r>
        <w:r>
          <w:fldChar w:fldCharType="end"/>
        </w:r>
      </w:p>
    </w:sdtContent>
  </w:sdt>
  <w:p w14:paraId="469311B7" w14:textId="77777777" w:rsidR="008E5EA2" w:rsidRDefault="008E5E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E4BBA" w14:textId="77777777" w:rsidR="008D541E" w:rsidRDefault="008D541E">
      <w:r>
        <w:separator/>
      </w:r>
    </w:p>
  </w:footnote>
  <w:footnote w:type="continuationSeparator" w:id="0">
    <w:p w14:paraId="2BB3EA37" w14:textId="77777777" w:rsidR="008D541E" w:rsidRDefault="008D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2" w:type="dxa"/>
      <w:tblInd w:w="-1053" w:type="dxa"/>
      <w:tblLayout w:type="fixed"/>
      <w:tblCellMar>
        <w:left w:w="70" w:type="dxa"/>
        <w:right w:w="70" w:type="dxa"/>
      </w:tblCellMar>
      <w:tblLook w:val="0000" w:firstRow="0" w:lastRow="0" w:firstColumn="0" w:lastColumn="0" w:noHBand="0" w:noVBand="0"/>
    </w:tblPr>
    <w:tblGrid>
      <w:gridCol w:w="9628"/>
      <w:gridCol w:w="974"/>
      <w:gridCol w:w="160"/>
    </w:tblGrid>
    <w:tr w:rsidR="008E5EA2" w14:paraId="588F78D5" w14:textId="77777777" w:rsidTr="00E769BA">
      <w:trPr>
        <w:trHeight w:hRule="exact" w:val="989"/>
      </w:trPr>
      <w:tc>
        <w:tcPr>
          <w:tcW w:w="9628" w:type="dxa"/>
        </w:tcPr>
        <w:p w14:paraId="09064AAA" w14:textId="77777777" w:rsidR="008E5EA2" w:rsidRDefault="008E5EA2">
          <w:pPr>
            <w:pStyle w:val="Encabezado"/>
          </w:pPr>
        </w:p>
      </w:tc>
      <w:tc>
        <w:tcPr>
          <w:tcW w:w="974" w:type="dxa"/>
        </w:tcPr>
        <w:p w14:paraId="516B1BAC" w14:textId="77777777" w:rsidR="008E5EA2" w:rsidRDefault="008E5EA2">
          <w:pPr>
            <w:pStyle w:val="Encabezado"/>
          </w:pPr>
          <w:r>
            <w:object w:dxaOrig="870" w:dyaOrig="1005" w14:anchorId="46EAC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Brush" ShapeID="_x0000_i1025" DrawAspect="Content" ObjectID="_1742206312" r:id="rId2"/>
            </w:object>
          </w:r>
        </w:p>
      </w:tc>
      <w:tc>
        <w:tcPr>
          <w:tcW w:w="160" w:type="dxa"/>
        </w:tcPr>
        <w:p w14:paraId="15116D01" w14:textId="77777777" w:rsidR="008E5EA2" w:rsidRDefault="008E5EA2">
          <w:pPr>
            <w:pStyle w:val="Encabezado"/>
          </w:pPr>
        </w:p>
      </w:tc>
    </w:tr>
    <w:tr w:rsidR="008E5EA2" w14:paraId="2548DEBF" w14:textId="77777777" w:rsidTr="00E769BA">
      <w:tc>
        <w:tcPr>
          <w:tcW w:w="9628" w:type="dxa"/>
        </w:tcPr>
        <w:p w14:paraId="131B696F" w14:textId="77777777" w:rsidR="008E5EA2" w:rsidRDefault="008E5EA2">
          <w:pPr>
            <w:pStyle w:val="Encabezado"/>
          </w:pPr>
        </w:p>
      </w:tc>
      <w:tc>
        <w:tcPr>
          <w:tcW w:w="974" w:type="dxa"/>
        </w:tcPr>
        <w:p w14:paraId="1DA889F0" w14:textId="77777777" w:rsidR="008E5EA2" w:rsidRDefault="008E5EA2">
          <w:pPr>
            <w:pStyle w:val="Encabezado"/>
          </w:pPr>
        </w:p>
      </w:tc>
      <w:tc>
        <w:tcPr>
          <w:tcW w:w="160" w:type="dxa"/>
        </w:tcPr>
        <w:p w14:paraId="65C08205" w14:textId="77777777" w:rsidR="008E5EA2" w:rsidRDefault="008E5EA2">
          <w:pPr>
            <w:pStyle w:val="Encabezado"/>
          </w:pPr>
        </w:p>
      </w:tc>
    </w:tr>
    <w:tr w:rsidR="008E5EA2" w14:paraId="3BF11556" w14:textId="77777777" w:rsidTr="00E769BA">
      <w:tc>
        <w:tcPr>
          <w:tcW w:w="9628" w:type="dxa"/>
        </w:tcPr>
        <w:p w14:paraId="7796128F" w14:textId="77777777" w:rsidR="008E5EA2" w:rsidRDefault="008E5EA2">
          <w:pPr>
            <w:pStyle w:val="Encabezado"/>
          </w:pPr>
        </w:p>
      </w:tc>
      <w:tc>
        <w:tcPr>
          <w:tcW w:w="974" w:type="dxa"/>
        </w:tcPr>
        <w:p w14:paraId="5352FB99" w14:textId="77777777" w:rsidR="008E5EA2" w:rsidRDefault="008E5EA2">
          <w:pPr>
            <w:pStyle w:val="Encabezado"/>
          </w:pPr>
        </w:p>
      </w:tc>
      <w:tc>
        <w:tcPr>
          <w:tcW w:w="160" w:type="dxa"/>
        </w:tcPr>
        <w:p w14:paraId="318AFBF8" w14:textId="77777777" w:rsidR="008E5EA2" w:rsidRDefault="008E5EA2">
          <w:pPr>
            <w:pStyle w:val="Encabezado"/>
          </w:pPr>
        </w:p>
      </w:tc>
    </w:tr>
  </w:tbl>
  <w:sdt>
    <w:sdtPr>
      <w:id w:val="826788528"/>
      <w:docPartObj>
        <w:docPartGallery w:val="Watermarks"/>
        <w:docPartUnique/>
      </w:docPartObj>
    </w:sdtPr>
    <w:sdtEndPr/>
    <w:sdtContent>
      <w:p w14:paraId="2ACC5F95" w14:textId="6341FE7A" w:rsidR="008E5EA2" w:rsidRDefault="001C3C94" w:rsidP="002B6412">
        <w:r>
          <w:pict w14:anchorId="385B3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4" w:type="dxa"/>
      <w:tblInd w:w="-551" w:type="dxa"/>
      <w:tblLayout w:type="fixed"/>
      <w:tblCellMar>
        <w:left w:w="0" w:type="dxa"/>
        <w:right w:w="0" w:type="dxa"/>
      </w:tblCellMar>
      <w:tblLook w:val="0000" w:firstRow="0" w:lastRow="0" w:firstColumn="0" w:lastColumn="0" w:noHBand="0" w:noVBand="0"/>
    </w:tblPr>
    <w:tblGrid>
      <w:gridCol w:w="1113"/>
      <w:gridCol w:w="5534"/>
      <w:gridCol w:w="1150"/>
      <w:gridCol w:w="267"/>
      <w:gridCol w:w="2410"/>
    </w:tblGrid>
    <w:tr w:rsidR="008E5EA2" w14:paraId="2A8371D3" w14:textId="77777777" w:rsidTr="000A7502">
      <w:trPr>
        <w:cantSplit/>
        <w:trHeight w:val="416"/>
      </w:trPr>
      <w:tc>
        <w:tcPr>
          <w:tcW w:w="1113" w:type="dxa"/>
          <w:vMerge w:val="restart"/>
          <w:vAlign w:val="center"/>
        </w:tcPr>
        <w:p w14:paraId="43A69A44" w14:textId="77777777" w:rsidR="008E5EA2" w:rsidRDefault="008E5EA2" w:rsidP="00FE4F7E">
          <w:pPr>
            <w:pStyle w:val="Encabezado"/>
          </w:pPr>
          <w:r>
            <w:object w:dxaOrig="870" w:dyaOrig="1005" w14:anchorId="376FD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50.25pt">
                <v:imagedata r:id="rId1" o:title=""/>
              </v:shape>
              <o:OLEObject Type="Embed" ProgID="PBrush" ShapeID="_x0000_i1026" DrawAspect="Content" ObjectID="_1742206313" r:id="rId2"/>
            </w:object>
          </w:r>
        </w:p>
      </w:tc>
      <w:tc>
        <w:tcPr>
          <w:tcW w:w="5534" w:type="dxa"/>
          <w:vMerge w:val="restart"/>
          <w:vAlign w:val="center"/>
        </w:tcPr>
        <w:p w14:paraId="69790A40" w14:textId="77777777" w:rsidR="008E5EA2" w:rsidRDefault="008E5EA2" w:rsidP="00FE4F7E">
          <w:pPr>
            <w:rPr>
              <w:rFonts w:ascii="Arial" w:hAnsi="Arial"/>
            </w:rPr>
          </w:pPr>
        </w:p>
        <w:p w14:paraId="638B3A80" w14:textId="77777777" w:rsidR="008E5EA2" w:rsidRDefault="008E5EA2" w:rsidP="00FE4F7E">
          <w:pPr>
            <w:rPr>
              <w:rFonts w:ascii="Arial" w:hAnsi="Arial"/>
            </w:rPr>
          </w:pPr>
          <w:r>
            <w:rPr>
              <w:rFonts w:ascii="Arial" w:hAnsi="Arial"/>
            </w:rPr>
            <w:t>MINISTERIO</w:t>
          </w:r>
        </w:p>
        <w:p w14:paraId="6F502700" w14:textId="77777777" w:rsidR="008E5EA2" w:rsidRDefault="008E5EA2" w:rsidP="00FE4F7E">
          <w:pPr>
            <w:rPr>
              <w:rFonts w:ascii="Arial" w:hAnsi="Arial"/>
            </w:rPr>
          </w:pPr>
          <w:r>
            <w:rPr>
              <w:rFonts w:ascii="Arial" w:hAnsi="Arial"/>
            </w:rPr>
            <w:t>PARA LA TRANSICION ECOLOGICA</w:t>
          </w:r>
        </w:p>
        <w:p w14:paraId="70F5176B" w14:textId="77777777" w:rsidR="008E5EA2" w:rsidRPr="004F217E" w:rsidRDefault="008E5EA2" w:rsidP="00FE4F7E">
          <w:pPr>
            <w:rPr>
              <w:rFonts w:ascii="Arial" w:hAnsi="Arial"/>
            </w:rPr>
          </w:pPr>
          <w:r>
            <w:rPr>
              <w:rFonts w:ascii="Arial" w:hAnsi="Arial"/>
            </w:rPr>
            <w:t>Y EL RETO DEMOGRAFICO</w:t>
          </w:r>
        </w:p>
      </w:tc>
      <w:tc>
        <w:tcPr>
          <w:tcW w:w="1150" w:type="dxa"/>
        </w:tcPr>
        <w:p w14:paraId="05905DC9" w14:textId="77777777" w:rsidR="008E5EA2" w:rsidRDefault="008E5EA2" w:rsidP="00C72C69">
          <w:pPr>
            <w:pStyle w:val="Encabezado"/>
            <w:jc w:val="right"/>
            <w:rPr>
              <w:rFonts w:ascii="Arial" w:hAnsi="Arial"/>
              <w:sz w:val="14"/>
            </w:rPr>
          </w:pPr>
        </w:p>
      </w:tc>
      <w:tc>
        <w:tcPr>
          <w:tcW w:w="267" w:type="dxa"/>
          <w:vMerge w:val="restart"/>
        </w:tcPr>
        <w:p w14:paraId="0E6A8984" w14:textId="77777777" w:rsidR="008E5EA2" w:rsidRDefault="008E5EA2" w:rsidP="00C72C69">
          <w:pPr>
            <w:pStyle w:val="Encabezado"/>
            <w:rPr>
              <w:rFonts w:ascii="Arial" w:hAnsi="Arial"/>
              <w:sz w:val="14"/>
            </w:rPr>
          </w:pPr>
        </w:p>
      </w:tc>
      <w:tc>
        <w:tcPr>
          <w:tcW w:w="2410" w:type="dxa"/>
          <w:shd w:val="pct12" w:color="auto" w:fill="FFFFFF"/>
        </w:tcPr>
        <w:p w14:paraId="282A47D9" w14:textId="77777777" w:rsidR="008E5EA2" w:rsidRDefault="008E5EA2" w:rsidP="00C72C69">
          <w:pPr>
            <w:pStyle w:val="Encabezado"/>
            <w:shd w:val="pct12" w:color="auto" w:fill="FFFFFF"/>
            <w:rPr>
              <w:rFonts w:ascii="Arial" w:hAnsi="Arial"/>
              <w:sz w:val="14"/>
            </w:rPr>
          </w:pPr>
        </w:p>
        <w:p w14:paraId="791320D4" w14:textId="77777777" w:rsidR="008E5EA2" w:rsidRDefault="008E5EA2" w:rsidP="00C72C69">
          <w:pPr>
            <w:pStyle w:val="Encabezado"/>
            <w:shd w:val="pct12" w:color="auto" w:fill="FFFFFF"/>
            <w:rPr>
              <w:rFonts w:ascii="Arial" w:hAnsi="Arial"/>
              <w:sz w:val="14"/>
            </w:rPr>
          </w:pPr>
          <w:r>
            <w:rPr>
              <w:rFonts w:ascii="Arial" w:hAnsi="Arial"/>
              <w:sz w:val="14"/>
            </w:rPr>
            <w:t>SECRETARÍA DE ESTADO DE MEDIO AMBIENTE</w:t>
          </w:r>
        </w:p>
        <w:p w14:paraId="6DDF4C6A" w14:textId="77777777" w:rsidR="008E5EA2" w:rsidRDefault="008E5EA2" w:rsidP="00C72C69">
          <w:pPr>
            <w:pStyle w:val="Encabezado"/>
            <w:shd w:val="pct12" w:color="auto" w:fill="FFFFFF"/>
            <w:rPr>
              <w:rFonts w:ascii="Arial" w:hAnsi="Arial"/>
              <w:sz w:val="14"/>
            </w:rPr>
          </w:pPr>
        </w:p>
      </w:tc>
    </w:tr>
    <w:tr w:rsidR="008E5EA2" w14:paraId="7FB8E134" w14:textId="77777777" w:rsidTr="000A7502">
      <w:trPr>
        <w:cantSplit/>
        <w:trHeight w:val="869"/>
      </w:trPr>
      <w:tc>
        <w:tcPr>
          <w:tcW w:w="1113" w:type="dxa"/>
          <w:vMerge/>
        </w:tcPr>
        <w:p w14:paraId="0FB2741C" w14:textId="77777777" w:rsidR="008E5EA2" w:rsidRPr="00C72C69" w:rsidRDefault="008E5EA2" w:rsidP="00C72C69">
          <w:pPr>
            <w:pStyle w:val="Encabezado"/>
            <w:rPr>
              <w:rFonts w:ascii="Arial Narrow-SM" w:hAnsi="Arial Narrow-SM"/>
              <w:position w:val="12"/>
              <w:sz w:val="18"/>
              <w:szCs w:val="18"/>
            </w:rPr>
          </w:pPr>
        </w:p>
      </w:tc>
      <w:tc>
        <w:tcPr>
          <w:tcW w:w="5534" w:type="dxa"/>
          <w:vMerge/>
        </w:tcPr>
        <w:p w14:paraId="4C1D2273" w14:textId="77777777" w:rsidR="008E5EA2" w:rsidRPr="00C72C69" w:rsidRDefault="008E5EA2" w:rsidP="00C72C69">
          <w:pPr>
            <w:pStyle w:val="Encabezado"/>
            <w:rPr>
              <w:rFonts w:ascii="Arial Narrow-SM" w:hAnsi="Arial Narrow-SM"/>
              <w:position w:val="12"/>
              <w:sz w:val="18"/>
              <w:szCs w:val="18"/>
            </w:rPr>
          </w:pPr>
        </w:p>
      </w:tc>
      <w:tc>
        <w:tcPr>
          <w:tcW w:w="1150" w:type="dxa"/>
        </w:tcPr>
        <w:p w14:paraId="14BF6C2C" w14:textId="77777777" w:rsidR="008E5EA2" w:rsidRDefault="008E5EA2" w:rsidP="00C72C69">
          <w:pPr>
            <w:pStyle w:val="Encabezado"/>
            <w:jc w:val="right"/>
            <w:rPr>
              <w:rFonts w:ascii="Arial" w:hAnsi="Arial"/>
              <w:sz w:val="14"/>
            </w:rPr>
          </w:pPr>
        </w:p>
      </w:tc>
      <w:tc>
        <w:tcPr>
          <w:tcW w:w="267" w:type="dxa"/>
          <w:vMerge/>
        </w:tcPr>
        <w:p w14:paraId="0EA59806" w14:textId="77777777" w:rsidR="008E5EA2" w:rsidRDefault="008E5EA2" w:rsidP="00C72C69">
          <w:pPr>
            <w:pStyle w:val="Encabezado"/>
            <w:rPr>
              <w:rFonts w:ascii="Arial" w:hAnsi="Arial"/>
              <w:sz w:val="14"/>
            </w:rPr>
          </w:pPr>
        </w:p>
      </w:tc>
      <w:tc>
        <w:tcPr>
          <w:tcW w:w="2410" w:type="dxa"/>
        </w:tcPr>
        <w:p w14:paraId="01C5CEF6" w14:textId="77777777" w:rsidR="008E5EA2" w:rsidRDefault="008E5EA2" w:rsidP="00C72C69">
          <w:pPr>
            <w:pStyle w:val="Encabezado"/>
            <w:rPr>
              <w:rFonts w:ascii="Arial" w:hAnsi="Arial"/>
              <w:sz w:val="14"/>
            </w:rPr>
          </w:pPr>
        </w:p>
        <w:p w14:paraId="1CA1705C" w14:textId="77777777" w:rsidR="008E5EA2" w:rsidRDefault="008E5EA2" w:rsidP="00C72C69">
          <w:pPr>
            <w:pStyle w:val="Encabezado"/>
            <w:rPr>
              <w:rFonts w:ascii="Arial" w:hAnsi="Arial"/>
              <w:sz w:val="14"/>
            </w:rPr>
          </w:pPr>
          <w:r>
            <w:rPr>
              <w:rFonts w:ascii="Arial" w:hAnsi="Arial"/>
              <w:sz w:val="14"/>
            </w:rPr>
            <w:t>DIRECCION GENERAL DE</w:t>
          </w:r>
        </w:p>
        <w:p w14:paraId="78604DB7" w14:textId="77777777" w:rsidR="008E5EA2" w:rsidRDefault="008E5EA2" w:rsidP="00C72C69">
          <w:pPr>
            <w:pStyle w:val="Encabezado"/>
            <w:rPr>
              <w:rFonts w:ascii="Arial" w:hAnsi="Arial"/>
              <w:sz w:val="14"/>
            </w:rPr>
          </w:pPr>
          <w:r>
            <w:rPr>
              <w:rFonts w:ascii="Arial" w:hAnsi="Arial"/>
              <w:sz w:val="14"/>
            </w:rPr>
            <w:t xml:space="preserve">CALIDAD Y EVALUACIÓN AMBIENTAL </w:t>
          </w:r>
        </w:p>
        <w:p w14:paraId="21926396" w14:textId="77777777" w:rsidR="008E5EA2" w:rsidRDefault="008E5EA2" w:rsidP="00C72C69">
          <w:pPr>
            <w:pStyle w:val="Encabezado"/>
            <w:rPr>
              <w:rFonts w:ascii="Arial" w:hAnsi="Arial"/>
              <w:sz w:val="14"/>
            </w:rPr>
          </w:pPr>
        </w:p>
        <w:p w14:paraId="08033FF2" w14:textId="77777777" w:rsidR="008E5EA2" w:rsidRDefault="008E5EA2" w:rsidP="00C72C69">
          <w:pPr>
            <w:pStyle w:val="Encabezado"/>
            <w:rPr>
              <w:rFonts w:ascii="Arial" w:hAnsi="Arial"/>
              <w:sz w:val="14"/>
            </w:rPr>
          </w:pPr>
        </w:p>
      </w:tc>
    </w:tr>
  </w:tbl>
  <w:p w14:paraId="72A4943B" w14:textId="350B8558" w:rsidR="008E5EA2" w:rsidRDefault="008E5E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7A1"/>
    <w:multiLevelType w:val="hybridMultilevel"/>
    <w:tmpl w:val="8EB2B10C"/>
    <w:lvl w:ilvl="0" w:tplc="1964764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A534C1"/>
    <w:multiLevelType w:val="hybridMultilevel"/>
    <w:tmpl w:val="3404CE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2E603A"/>
    <w:multiLevelType w:val="hybridMultilevel"/>
    <w:tmpl w:val="E158AD8E"/>
    <w:lvl w:ilvl="0" w:tplc="FFFFFFFF">
      <w:start w:val="1"/>
      <w:numFmt w:val="decimal"/>
      <w:lvlText w:val="%1."/>
      <w:lvlJc w:val="left"/>
      <w:pPr>
        <w:ind w:left="420" w:hanging="360"/>
      </w:pPr>
      <w:rPr>
        <w:rFonts w:ascii="Arial" w:hAnsi="Arial" w:cs="Arial" w:hint="default"/>
        <w:b/>
        <w:b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1AEC8F0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626E69"/>
    <w:multiLevelType w:val="hybridMultilevel"/>
    <w:tmpl w:val="5226E6A6"/>
    <w:lvl w:ilvl="0" w:tplc="FFFFFFFF">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902D2"/>
    <w:multiLevelType w:val="hybridMultilevel"/>
    <w:tmpl w:val="282227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D651E3"/>
    <w:multiLevelType w:val="hybridMultilevel"/>
    <w:tmpl w:val="329E5BCA"/>
    <w:lvl w:ilvl="0" w:tplc="3A1A52A0">
      <w:numFmt w:val="bullet"/>
      <w:lvlText w:val="-"/>
      <w:lvlJc w:val="left"/>
      <w:pPr>
        <w:ind w:left="1065" w:hanging="705"/>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FC0297"/>
    <w:multiLevelType w:val="hybridMultilevel"/>
    <w:tmpl w:val="7256C858"/>
    <w:lvl w:ilvl="0" w:tplc="FFFFFFFF">
      <w:start w:val="1"/>
      <w:numFmt w:val="decimal"/>
      <w:lvlText w:val="%1."/>
      <w:lvlJc w:val="left"/>
      <w:pPr>
        <w:ind w:left="420" w:hanging="360"/>
      </w:pPr>
      <w:rPr>
        <w:rFonts w:ascii="Arial" w:hAnsi="Arial" w:cs="Arial" w:hint="default"/>
        <w:b/>
        <w:b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38E32666"/>
    <w:multiLevelType w:val="hybridMultilevel"/>
    <w:tmpl w:val="5756DB20"/>
    <w:lvl w:ilvl="0" w:tplc="C5D64B7E">
      <w:start w:val="1"/>
      <w:numFmt w:val="decimal"/>
      <w:lvlText w:val="%1."/>
      <w:lvlJc w:val="left"/>
      <w:pPr>
        <w:ind w:left="420" w:hanging="360"/>
      </w:pPr>
      <w:rPr>
        <w:rFonts w:ascii="Arial" w:hAnsi="Arial" w:cs="Arial" w:hint="default"/>
        <w:b/>
        <w:bCs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42DC4103"/>
    <w:multiLevelType w:val="hybridMultilevel"/>
    <w:tmpl w:val="5226E6A6"/>
    <w:lvl w:ilvl="0" w:tplc="FFFFFFFF">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F27699"/>
    <w:multiLevelType w:val="multilevel"/>
    <w:tmpl w:val="FD66BB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C42B7C"/>
    <w:multiLevelType w:val="hybridMultilevel"/>
    <w:tmpl w:val="D84A07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D434025"/>
    <w:multiLevelType w:val="hybridMultilevel"/>
    <w:tmpl w:val="7256C858"/>
    <w:lvl w:ilvl="0" w:tplc="FFFFFFFF">
      <w:start w:val="1"/>
      <w:numFmt w:val="decimal"/>
      <w:lvlText w:val="%1."/>
      <w:lvlJc w:val="left"/>
      <w:pPr>
        <w:ind w:left="420" w:hanging="360"/>
      </w:pPr>
      <w:rPr>
        <w:rFonts w:ascii="Arial" w:hAnsi="Arial" w:cs="Arial" w:hint="default"/>
        <w:b/>
        <w:b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 w15:restartNumberingAfterBreak="0">
    <w:nsid w:val="4F984390"/>
    <w:multiLevelType w:val="hybridMultilevel"/>
    <w:tmpl w:val="05BA17FC"/>
    <w:lvl w:ilvl="0" w:tplc="5FB88F8E">
      <w:start w:val="1"/>
      <w:numFmt w:val="lowerRoman"/>
      <w:lvlText w:val="%1."/>
      <w:lvlJc w:val="right"/>
      <w:pPr>
        <w:ind w:left="720" w:hanging="360"/>
      </w:pPr>
      <w:rPr>
        <w:b/>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991EF0"/>
    <w:multiLevelType w:val="hybridMultilevel"/>
    <w:tmpl w:val="14FA2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070203"/>
    <w:multiLevelType w:val="hybridMultilevel"/>
    <w:tmpl w:val="CD745AEA"/>
    <w:lvl w:ilvl="0" w:tplc="43E89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1D65F3"/>
    <w:multiLevelType w:val="hybridMultilevel"/>
    <w:tmpl w:val="7256C858"/>
    <w:lvl w:ilvl="0" w:tplc="FFFFFFFF">
      <w:start w:val="1"/>
      <w:numFmt w:val="decimal"/>
      <w:lvlText w:val="%1."/>
      <w:lvlJc w:val="left"/>
      <w:pPr>
        <w:ind w:left="420" w:hanging="360"/>
      </w:pPr>
      <w:rPr>
        <w:rFonts w:ascii="Arial" w:hAnsi="Arial" w:cs="Arial" w:hint="default"/>
        <w:b/>
        <w:b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78E003A"/>
    <w:multiLevelType w:val="hybridMultilevel"/>
    <w:tmpl w:val="0B04EE2C"/>
    <w:lvl w:ilvl="0" w:tplc="17A205C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A730FD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A81120"/>
    <w:multiLevelType w:val="hybridMultilevel"/>
    <w:tmpl w:val="5226E6A6"/>
    <w:lvl w:ilvl="0" w:tplc="12C0A750">
      <w:start w:val="1"/>
      <w:numFmt w:val="lowerLetter"/>
      <w:lvlText w:val="%1)"/>
      <w:lvlJc w:val="left"/>
      <w:pPr>
        <w:ind w:left="720" w:hanging="360"/>
      </w:pPr>
      <w:rPr>
        <w:rFonts w:hint="default"/>
        <w:b/>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411720C"/>
    <w:multiLevelType w:val="multilevel"/>
    <w:tmpl w:val="73C820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9"/>
  </w:num>
  <w:num w:numId="3">
    <w:abstractNumId w:val="17"/>
  </w:num>
  <w:num w:numId="4">
    <w:abstractNumId w:val="13"/>
  </w:num>
  <w:num w:numId="5">
    <w:abstractNumId w:val="9"/>
  </w:num>
  <w:num w:numId="6">
    <w:abstractNumId w:val="0"/>
  </w:num>
  <w:num w:numId="7">
    <w:abstractNumId w:val="4"/>
  </w:num>
  <w:num w:numId="8">
    <w:abstractNumId w:val="5"/>
  </w:num>
  <w:num w:numId="9">
    <w:abstractNumId w:val="18"/>
  </w:num>
  <w:num w:numId="10">
    <w:abstractNumId w:val="3"/>
  </w:num>
  <w:num w:numId="11">
    <w:abstractNumId w:val="10"/>
  </w:num>
  <w:num w:numId="12">
    <w:abstractNumId w:val="11"/>
  </w:num>
  <w:num w:numId="13">
    <w:abstractNumId w:val="14"/>
  </w:num>
  <w:num w:numId="14">
    <w:abstractNumId w:val="1"/>
  </w:num>
  <w:num w:numId="15">
    <w:abstractNumId w:val="8"/>
  </w:num>
  <w:num w:numId="16">
    <w:abstractNumId w:val="15"/>
  </w:num>
  <w:num w:numId="17">
    <w:abstractNumId w:val="6"/>
  </w:num>
  <w:num w:numId="18">
    <w:abstractNumId w:val="16"/>
  </w:num>
  <w:num w:numId="19">
    <w:abstractNumId w:val="2"/>
  </w:num>
  <w:num w:numId="20">
    <w:abstractNumId w:val="12"/>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v:stroke weight=".05pt"/>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5A"/>
    <w:rsid w:val="00007DE2"/>
    <w:rsid w:val="000118EA"/>
    <w:rsid w:val="00016909"/>
    <w:rsid w:val="00016C61"/>
    <w:rsid w:val="0001754C"/>
    <w:rsid w:val="000202EF"/>
    <w:rsid w:val="000236F4"/>
    <w:rsid w:val="00024CC7"/>
    <w:rsid w:val="0002532F"/>
    <w:rsid w:val="00042F48"/>
    <w:rsid w:val="00043133"/>
    <w:rsid w:val="000459E7"/>
    <w:rsid w:val="00046E4F"/>
    <w:rsid w:val="000538AB"/>
    <w:rsid w:val="00056626"/>
    <w:rsid w:val="00062335"/>
    <w:rsid w:val="00064186"/>
    <w:rsid w:val="00065CBB"/>
    <w:rsid w:val="00065EE7"/>
    <w:rsid w:val="0007278B"/>
    <w:rsid w:val="000728D7"/>
    <w:rsid w:val="00072FBC"/>
    <w:rsid w:val="00074190"/>
    <w:rsid w:val="00074C59"/>
    <w:rsid w:val="000818BD"/>
    <w:rsid w:val="00084F0F"/>
    <w:rsid w:val="00086E33"/>
    <w:rsid w:val="00095654"/>
    <w:rsid w:val="000A2B2D"/>
    <w:rsid w:val="000A5FE3"/>
    <w:rsid w:val="000A7502"/>
    <w:rsid w:val="000A7615"/>
    <w:rsid w:val="000A7F91"/>
    <w:rsid w:val="000B17FD"/>
    <w:rsid w:val="000B1FFA"/>
    <w:rsid w:val="000B31BA"/>
    <w:rsid w:val="000B382A"/>
    <w:rsid w:val="000B735C"/>
    <w:rsid w:val="000C34B4"/>
    <w:rsid w:val="000D086D"/>
    <w:rsid w:val="000D2838"/>
    <w:rsid w:val="000D2BC5"/>
    <w:rsid w:val="000D2DC3"/>
    <w:rsid w:val="000D5957"/>
    <w:rsid w:val="000D6484"/>
    <w:rsid w:val="000E022A"/>
    <w:rsid w:val="000E2958"/>
    <w:rsid w:val="000E73C9"/>
    <w:rsid w:val="000E7E5D"/>
    <w:rsid w:val="000F342D"/>
    <w:rsid w:val="000F73E9"/>
    <w:rsid w:val="001014A6"/>
    <w:rsid w:val="001074DE"/>
    <w:rsid w:val="00107F38"/>
    <w:rsid w:val="00110A30"/>
    <w:rsid w:val="00116071"/>
    <w:rsid w:val="00117DE8"/>
    <w:rsid w:val="0012786E"/>
    <w:rsid w:val="00133F52"/>
    <w:rsid w:val="001365D1"/>
    <w:rsid w:val="0013746C"/>
    <w:rsid w:val="0014208C"/>
    <w:rsid w:val="00164D3F"/>
    <w:rsid w:val="00165339"/>
    <w:rsid w:val="00172088"/>
    <w:rsid w:val="00175CE2"/>
    <w:rsid w:val="00177037"/>
    <w:rsid w:val="00177DF7"/>
    <w:rsid w:val="00182E87"/>
    <w:rsid w:val="00192C00"/>
    <w:rsid w:val="00192F1A"/>
    <w:rsid w:val="00194CD3"/>
    <w:rsid w:val="00197B64"/>
    <w:rsid w:val="001A102B"/>
    <w:rsid w:val="001A1CE7"/>
    <w:rsid w:val="001A39F3"/>
    <w:rsid w:val="001A6177"/>
    <w:rsid w:val="001B0671"/>
    <w:rsid w:val="001B0E5A"/>
    <w:rsid w:val="001B1507"/>
    <w:rsid w:val="001B171E"/>
    <w:rsid w:val="001B233F"/>
    <w:rsid w:val="001B2E5A"/>
    <w:rsid w:val="001B3DD7"/>
    <w:rsid w:val="001B75E6"/>
    <w:rsid w:val="001C17FD"/>
    <w:rsid w:val="001C1E6E"/>
    <w:rsid w:val="001C252A"/>
    <w:rsid w:val="001C35B4"/>
    <w:rsid w:val="001C39AE"/>
    <w:rsid w:val="001C3C94"/>
    <w:rsid w:val="001C50CE"/>
    <w:rsid w:val="001C5568"/>
    <w:rsid w:val="001C6131"/>
    <w:rsid w:val="001C66A5"/>
    <w:rsid w:val="001C66D2"/>
    <w:rsid w:val="001C68C8"/>
    <w:rsid w:val="001C71D4"/>
    <w:rsid w:val="001E6D5C"/>
    <w:rsid w:val="001F68BE"/>
    <w:rsid w:val="001F68C3"/>
    <w:rsid w:val="00200AA3"/>
    <w:rsid w:val="0020535A"/>
    <w:rsid w:val="00207DE0"/>
    <w:rsid w:val="002125BF"/>
    <w:rsid w:val="0021353D"/>
    <w:rsid w:val="00213B2E"/>
    <w:rsid w:val="0021685D"/>
    <w:rsid w:val="002202D5"/>
    <w:rsid w:val="0022515B"/>
    <w:rsid w:val="00235F15"/>
    <w:rsid w:val="00240063"/>
    <w:rsid w:val="00242004"/>
    <w:rsid w:val="0024504A"/>
    <w:rsid w:val="0024521A"/>
    <w:rsid w:val="00255C6E"/>
    <w:rsid w:val="00257402"/>
    <w:rsid w:val="00263CB1"/>
    <w:rsid w:val="00264013"/>
    <w:rsid w:val="0027015B"/>
    <w:rsid w:val="002762A5"/>
    <w:rsid w:val="00280780"/>
    <w:rsid w:val="00282949"/>
    <w:rsid w:val="00283033"/>
    <w:rsid w:val="002A450A"/>
    <w:rsid w:val="002B1B98"/>
    <w:rsid w:val="002B1D95"/>
    <w:rsid w:val="002B20A0"/>
    <w:rsid w:val="002B32B8"/>
    <w:rsid w:val="002B4B53"/>
    <w:rsid w:val="002B6412"/>
    <w:rsid w:val="002B6A90"/>
    <w:rsid w:val="002B6FB7"/>
    <w:rsid w:val="002B7114"/>
    <w:rsid w:val="002C0DAC"/>
    <w:rsid w:val="002C65A4"/>
    <w:rsid w:val="002C7D69"/>
    <w:rsid w:val="002D15F5"/>
    <w:rsid w:val="002D4DAD"/>
    <w:rsid w:val="002D5802"/>
    <w:rsid w:val="002E5AE6"/>
    <w:rsid w:val="002F019F"/>
    <w:rsid w:val="002F0F71"/>
    <w:rsid w:val="002F3767"/>
    <w:rsid w:val="002F5ACC"/>
    <w:rsid w:val="00301790"/>
    <w:rsid w:val="00302B4C"/>
    <w:rsid w:val="00310356"/>
    <w:rsid w:val="00310556"/>
    <w:rsid w:val="00310B87"/>
    <w:rsid w:val="00310E8B"/>
    <w:rsid w:val="00312633"/>
    <w:rsid w:val="003152FF"/>
    <w:rsid w:val="00316936"/>
    <w:rsid w:val="00324435"/>
    <w:rsid w:val="00325E8E"/>
    <w:rsid w:val="00326F8C"/>
    <w:rsid w:val="00327600"/>
    <w:rsid w:val="0033365B"/>
    <w:rsid w:val="00336F67"/>
    <w:rsid w:val="0033779B"/>
    <w:rsid w:val="00337F44"/>
    <w:rsid w:val="00340A23"/>
    <w:rsid w:val="0034749F"/>
    <w:rsid w:val="00352BC7"/>
    <w:rsid w:val="003556D6"/>
    <w:rsid w:val="003560B0"/>
    <w:rsid w:val="00362E1D"/>
    <w:rsid w:val="00363E09"/>
    <w:rsid w:val="00364AB2"/>
    <w:rsid w:val="00367F14"/>
    <w:rsid w:val="003708E0"/>
    <w:rsid w:val="0037229A"/>
    <w:rsid w:val="00373FC9"/>
    <w:rsid w:val="00374D5D"/>
    <w:rsid w:val="00375387"/>
    <w:rsid w:val="00383A58"/>
    <w:rsid w:val="00385F30"/>
    <w:rsid w:val="00391DD1"/>
    <w:rsid w:val="0039357E"/>
    <w:rsid w:val="00393AC0"/>
    <w:rsid w:val="003A2486"/>
    <w:rsid w:val="003A6B5B"/>
    <w:rsid w:val="003B0B69"/>
    <w:rsid w:val="003B0D93"/>
    <w:rsid w:val="003B3CF5"/>
    <w:rsid w:val="003B587C"/>
    <w:rsid w:val="003C0CA2"/>
    <w:rsid w:val="003C2A9A"/>
    <w:rsid w:val="003C3926"/>
    <w:rsid w:val="003C6230"/>
    <w:rsid w:val="003D42F2"/>
    <w:rsid w:val="003D7401"/>
    <w:rsid w:val="003E28E3"/>
    <w:rsid w:val="003F2963"/>
    <w:rsid w:val="003F4A06"/>
    <w:rsid w:val="003F692F"/>
    <w:rsid w:val="004079D9"/>
    <w:rsid w:val="00414684"/>
    <w:rsid w:val="00414CD0"/>
    <w:rsid w:val="0041601B"/>
    <w:rsid w:val="00416AB0"/>
    <w:rsid w:val="00417AAE"/>
    <w:rsid w:val="00420291"/>
    <w:rsid w:val="00423046"/>
    <w:rsid w:val="00423ED8"/>
    <w:rsid w:val="00426D4E"/>
    <w:rsid w:val="00433AE3"/>
    <w:rsid w:val="00440D69"/>
    <w:rsid w:val="004439D8"/>
    <w:rsid w:val="0044568D"/>
    <w:rsid w:val="004468B5"/>
    <w:rsid w:val="00447913"/>
    <w:rsid w:val="004522DE"/>
    <w:rsid w:val="0045536D"/>
    <w:rsid w:val="00457E84"/>
    <w:rsid w:val="004609BE"/>
    <w:rsid w:val="00460E45"/>
    <w:rsid w:val="00471996"/>
    <w:rsid w:val="00471B1D"/>
    <w:rsid w:val="00476987"/>
    <w:rsid w:val="004809CE"/>
    <w:rsid w:val="0048608E"/>
    <w:rsid w:val="00486D46"/>
    <w:rsid w:val="00492FEB"/>
    <w:rsid w:val="00497DF6"/>
    <w:rsid w:val="004A3944"/>
    <w:rsid w:val="004A4DA6"/>
    <w:rsid w:val="004A63BC"/>
    <w:rsid w:val="004B2606"/>
    <w:rsid w:val="004B2683"/>
    <w:rsid w:val="004B2F34"/>
    <w:rsid w:val="004B3D50"/>
    <w:rsid w:val="004B63E0"/>
    <w:rsid w:val="004B6685"/>
    <w:rsid w:val="004B7611"/>
    <w:rsid w:val="004C1C67"/>
    <w:rsid w:val="004C455F"/>
    <w:rsid w:val="004C4A97"/>
    <w:rsid w:val="004C74BC"/>
    <w:rsid w:val="004C7E0D"/>
    <w:rsid w:val="004D0B29"/>
    <w:rsid w:val="004D1932"/>
    <w:rsid w:val="004D3B41"/>
    <w:rsid w:val="004E787B"/>
    <w:rsid w:val="004F217E"/>
    <w:rsid w:val="004F6B79"/>
    <w:rsid w:val="00500ACD"/>
    <w:rsid w:val="00505425"/>
    <w:rsid w:val="005150D7"/>
    <w:rsid w:val="0052037D"/>
    <w:rsid w:val="00521B50"/>
    <w:rsid w:val="00525773"/>
    <w:rsid w:val="00525FBB"/>
    <w:rsid w:val="00530019"/>
    <w:rsid w:val="00554819"/>
    <w:rsid w:val="00561E46"/>
    <w:rsid w:val="00563028"/>
    <w:rsid w:val="00563CB5"/>
    <w:rsid w:val="005642EB"/>
    <w:rsid w:val="0056514C"/>
    <w:rsid w:val="00567402"/>
    <w:rsid w:val="00571F2C"/>
    <w:rsid w:val="0057516B"/>
    <w:rsid w:val="005757A2"/>
    <w:rsid w:val="00586826"/>
    <w:rsid w:val="00587676"/>
    <w:rsid w:val="00590031"/>
    <w:rsid w:val="005919B2"/>
    <w:rsid w:val="005919CD"/>
    <w:rsid w:val="00593583"/>
    <w:rsid w:val="005A66ED"/>
    <w:rsid w:val="005A72F4"/>
    <w:rsid w:val="005B2668"/>
    <w:rsid w:val="005B67B5"/>
    <w:rsid w:val="005B7AB4"/>
    <w:rsid w:val="005C1152"/>
    <w:rsid w:val="005C15A9"/>
    <w:rsid w:val="005C2F52"/>
    <w:rsid w:val="005C70EA"/>
    <w:rsid w:val="005E0B90"/>
    <w:rsid w:val="005E269E"/>
    <w:rsid w:val="005E4CE2"/>
    <w:rsid w:val="005E5176"/>
    <w:rsid w:val="005F08F5"/>
    <w:rsid w:val="005F1506"/>
    <w:rsid w:val="005F6908"/>
    <w:rsid w:val="005F7E88"/>
    <w:rsid w:val="00601719"/>
    <w:rsid w:val="0060329B"/>
    <w:rsid w:val="00603471"/>
    <w:rsid w:val="00603FE3"/>
    <w:rsid w:val="0060479E"/>
    <w:rsid w:val="0060757A"/>
    <w:rsid w:val="00610C35"/>
    <w:rsid w:val="00613995"/>
    <w:rsid w:val="00615502"/>
    <w:rsid w:val="00623388"/>
    <w:rsid w:val="00623E68"/>
    <w:rsid w:val="006303E9"/>
    <w:rsid w:val="0063041C"/>
    <w:rsid w:val="006350C3"/>
    <w:rsid w:val="00636469"/>
    <w:rsid w:val="0064500D"/>
    <w:rsid w:val="00650307"/>
    <w:rsid w:val="006509DF"/>
    <w:rsid w:val="006529D8"/>
    <w:rsid w:val="006577A5"/>
    <w:rsid w:val="00662133"/>
    <w:rsid w:val="00666B49"/>
    <w:rsid w:val="00676A90"/>
    <w:rsid w:val="00681E8F"/>
    <w:rsid w:val="00682CCA"/>
    <w:rsid w:val="00683831"/>
    <w:rsid w:val="0068424B"/>
    <w:rsid w:val="006855CF"/>
    <w:rsid w:val="00686BC1"/>
    <w:rsid w:val="00687D23"/>
    <w:rsid w:val="006A1E37"/>
    <w:rsid w:val="006A226C"/>
    <w:rsid w:val="006A3310"/>
    <w:rsid w:val="006B5DB9"/>
    <w:rsid w:val="006B6288"/>
    <w:rsid w:val="006B71BF"/>
    <w:rsid w:val="006C01E7"/>
    <w:rsid w:val="006C0711"/>
    <w:rsid w:val="006C1D19"/>
    <w:rsid w:val="006C7D4E"/>
    <w:rsid w:val="006D2162"/>
    <w:rsid w:val="006D3F52"/>
    <w:rsid w:val="006D6A5C"/>
    <w:rsid w:val="006E4DDD"/>
    <w:rsid w:val="006E6C58"/>
    <w:rsid w:val="006F3486"/>
    <w:rsid w:val="006F4BB1"/>
    <w:rsid w:val="00700641"/>
    <w:rsid w:val="00702B74"/>
    <w:rsid w:val="00713CCA"/>
    <w:rsid w:val="0072001F"/>
    <w:rsid w:val="007224E0"/>
    <w:rsid w:val="00722965"/>
    <w:rsid w:val="00724A43"/>
    <w:rsid w:val="00724C11"/>
    <w:rsid w:val="00732087"/>
    <w:rsid w:val="007330AE"/>
    <w:rsid w:val="00735018"/>
    <w:rsid w:val="00735300"/>
    <w:rsid w:val="0074395C"/>
    <w:rsid w:val="0074508F"/>
    <w:rsid w:val="00751B50"/>
    <w:rsid w:val="00752287"/>
    <w:rsid w:val="0075424C"/>
    <w:rsid w:val="00756EFD"/>
    <w:rsid w:val="00757615"/>
    <w:rsid w:val="0076565E"/>
    <w:rsid w:val="0076760D"/>
    <w:rsid w:val="007678B7"/>
    <w:rsid w:val="00772581"/>
    <w:rsid w:val="007734BE"/>
    <w:rsid w:val="00777C68"/>
    <w:rsid w:val="007837D9"/>
    <w:rsid w:val="0078436B"/>
    <w:rsid w:val="00790F84"/>
    <w:rsid w:val="007930C8"/>
    <w:rsid w:val="00795765"/>
    <w:rsid w:val="007A407B"/>
    <w:rsid w:val="007A4553"/>
    <w:rsid w:val="007A793E"/>
    <w:rsid w:val="007A7B00"/>
    <w:rsid w:val="007B1186"/>
    <w:rsid w:val="007B1F29"/>
    <w:rsid w:val="007B2079"/>
    <w:rsid w:val="007B43C4"/>
    <w:rsid w:val="007B4FFA"/>
    <w:rsid w:val="007B5941"/>
    <w:rsid w:val="007B6CB6"/>
    <w:rsid w:val="007C1528"/>
    <w:rsid w:val="007C55FC"/>
    <w:rsid w:val="007C5BF9"/>
    <w:rsid w:val="007D05F8"/>
    <w:rsid w:val="007D20D5"/>
    <w:rsid w:val="007D3543"/>
    <w:rsid w:val="007D626B"/>
    <w:rsid w:val="007D7430"/>
    <w:rsid w:val="007E2D40"/>
    <w:rsid w:val="007E5467"/>
    <w:rsid w:val="007E6735"/>
    <w:rsid w:val="007E7B3A"/>
    <w:rsid w:val="007F3CC2"/>
    <w:rsid w:val="007F75CF"/>
    <w:rsid w:val="00805D17"/>
    <w:rsid w:val="0081526B"/>
    <w:rsid w:val="008160B1"/>
    <w:rsid w:val="00817179"/>
    <w:rsid w:val="00824C3D"/>
    <w:rsid w:val="00825704"/>
    <w:rsid w:val="00832ABA"/>
    <w:rsid w:val="008357B7"/>
    <w:rsid w:val="00835994"/>
    <w:rsid w:val="00837DC6"/>
    <w:rsid w:val="00843B19"/>
    <w:rsid w:val="00844AC6"/>
    <w:rsid w:val="00844F56"/>
    <w:rsid w:val="0086214B"/>
    <w:rsid w:val="008665F9"/>
    <w:rsid w:val="008672AE"/>
    <w:rsid w:val="008704FE"/>
    <w:rsid w:val="00871ADD"/>
    <w:rsid w:val="008809F5"/>
    <w:rsid w:val="008862F8"/>
    <w:rsid w:val="00892E45"/>
    <w:rsid w:val="008A0A37"/>
    <w:rsid w:val="008A4B93"/>
    <w:rsid w:val="008A67CC"/>
    <w:rsid w:val="008A6806"/>
    <w:rsid w:val="008B121B"/>
    <w:rsid w:val="008B35B5"/>
    <w:rsid w:val="008B36EE"/>
    <w:rsid w:val="008B7432"/>
    <w:rsid w:val="008C0937"/>
    <w:rsid w:val="008C0EEF"/>
    <w:rsid w:val="008C1564"/>
    <w:rsid w:val="008C21CC"/>
    <w:rsid w:val="008C28D7"/>
    <w:rsid w:val="008C29F7"/>
    <w:rsid w:val="008C69A9"/>
    <w:rsid w:val="008D0A91"/>
    <w:rsid w:val="008D144A"/>
    <w:rsid w:val="008D1797"/>
    <w:rsid w:val="008D1F50"/>
    <w:rsid w:val="008D2E09"/>
    <w:rsid w:val="008D541E"/>
    <w:rsid w:val="008D73CB"/>
    <w:rsid w:val="008E0E9E"/>
    <w:rsid w:val="008E3CCF"/>
    <w:rsid w:val="008E5EA2"/>
    <w:rsid w:val="008F07CF"/>
    <w:rsid w:val="008F1512"/>
    <w:rsid w:val="008F2D99"/>
    <w:rsid w:val="008F2E2E"/>
    <w:rsid w:val="008F6A13"/>
    <w:rsid w:val="008F7D47"/>
    <w:rsid w:val="00905BFF"/>
    <w:rsid w:val="009063CE"/>
    <w:rsid w:val="00907268"/>
    <w:rsid w:val="0091525E"/>
    <w:rsid w:val="009212FB"/>
    <w:rsid w:val="009255BF"/>
    <w:rsid w:val="009268FB"/>
    <w:rsid w:val="00930B1D"/>
    <w:rsid w:val="009365D0"/>
    <w:rsid w:val="00937875"/>
    <w:rsid w:val="00940526"/>
    <w:rsid w:val="00940721"/>
    <w:rsid w:val="00940D04"/>
    <w:rsid w:val="00943CE1"/>
    <w:rsid w:val="0094734E"/>
    <w:rsid w:val="009505E5"/>
    <w:rsid w:val="009547DB"/>
    <w:rsid w:val="009568BE"/>
    <w:rsid w:val="00957064"/>
    <w:rsid w:val="00957D80"/>
    <w:rsid w:val="009641F6"/>
    <w:rsid w:val="009728E4"/>
    <w:rsid w:val="00972E2F"/>
    <w:rsid w:val="00972FE4"/>
    <w:rsid w:val="0097537B"/>
    <w:rsid w:val="00977796"/>
    <w:rsid w:val="00991308"/>
    <w:rsid w:val="009917C0"/>
    <w:rsid w:val="00995873"/>
    <w:rsid w:val="009B10D5"/>
    <w:rsid w:val="009B15BE"/>
    <w:rsid w:val="009C2A44"/>
    <w:rsid w:val="009C33AF"/>
    <w:rsid w:val="009D098A"/>
    <w:rsid w:val="009D11D0"/>
    <w:rsid w:val="009D3387"/>
    <w:rsid w:val="009E302D"/>
    <w:rsid w:val="009E337C"/>
    <w:rsid w:val="009E6505"/>
    <w:rsid w:val="009E6788"/>
    <w:rsid w:val="009E7EBC"/>
    <w:rsid w:val="009F2ABF"/>
    <w:rsid w:val="009F43B2"/>
    <w:rsid w:val="009F50B8"/>
    <w:rsid w:val="00A02FBF"/>
    <w:rsid w:val="00A04DB8"/>
    <w:rsid w:val="00A074FC"/>
    <w:rsid w:val="00A11CDD"/>
    <w:rsid w:val="00A121BC"/>
    <w:rsid w:val="00A154EF"/>
    <w:rsid w:val="00A1630C"/>
    <w:rsid w:val="00A2069E"/>
    <w:rsid w:val="00A21807"/>
    <w:rsid w:val="00A23792"/>
    <w:rsid w:val="00A2555B"/>
    <w:rsid w:val="00A25CFE"/>
    <w:rsid w:val="00A3090E"/>
    <w:rsid w:val="00A31894"/>
    <w:rsid w:val="00A32F3A"/>
    <w:rsid w:val="00A41220"/>
    <w:rsid w:val="00A426D1"/>
    <w:rsid w:val="00A4323C"/>
    <w:rsid w:val="00A4628A"/>
    <w:rsid w:val="00A47105"/>
    <w:rsid w:val="00A5155A"/>
    <w:rsid w:val="00A52D74"/>
    <w:rsid w:val="00A56DBE"/>
    <w:rsid w:val="00A6154A"/>
    <w:rsid w:val="00A64245"/>
    <w:rsid w:val="00A64D52"/>
    <w:rsid w:val="00A656F7"/>
    <w:rsid w:val="00A65C7B"/>
    <w:rsid w:val="00A6644B"/>
    <w:rsid w:val="00A73487"/>
    <w:rsid w:val="00A754CC"/>
    <w:rsid w:val="00A80AA0"/>
    <w:rsid w:val="00A815A5"/>
    <w:rsid w:val="00A8248D"/>
    <w:rsid w:val="00A8611E"/>
    <w:rsid w:val="00A868EB"/>
    <w:rsid w:val="00A86924"/>
    <w:rsid w:val="00A86CCD"/>
    <w:rsid w:val="00A9387A"/>
    <w:rsid w:val="00A942B5"/>
    <w:rsid w:val="00A9659E"/>
    <w:rsid w:val="00A9699D"/>
    <w:rsid w:val="00AA073B"/>
    <w:rsid w:val="00AA19D7"/>
    <w:rsid w:val="00AA1D61"/>
    <w:rsid w:val="00AA2EDA"/>
    <w:rsid w:val="00AA2FAB"/>
    <w:rsid w:val="00AA2FCD"/>
    <w:rsid w:val="00AB2C78"/>
    <w:rsid w:val="00AC68F0"/>
    <w:rsid w:val="00AC7797"/>
    <w:rsid w:val="00AD07B2"/>
    <w:rsid w:val="00AD0A36"/>
    <w:rsid w:val="00AD0E24"/>
    <w:rsid w:val="00AD7F5E"/>
    <w:rsid w:val="00AE4C71"/>
    <w:rsid w:val="00AF2FC2"/>
    <w:rsid w:val="00AF463D"/>
    <w:rsid w:val="00AF63FB"/>
    <w:rsid w:val="00B103EE"/>
    <w:rsid w:val="00B12968"/>
    <w:rsid w:val="00B132BD"/>
    <w:rsid w:val="00B16EA9"/>
    <w:rsid w:val="00B235BE"/>
    <w:rsid w:val="00B3270B"/>
    <w:rsid w:val="00B32FF2"/>
    <w:rsid w:val="00B33373"/>
    <w:rsid w:val="00B33CBD"/>
    <w:rsid w:val="00B409DB"/>
    <w:rsid w:val="00B43BC5"/>
    <w:rsid w:val="00B451D9"/>
    <w:rsid w:val="00B46F86"/>
    <w:rsid w:val="00B5250B"/>
    <w:rsid w:val="00B5479E"/>
    <w:rsid w:val="00B547CA"/>
    <w:rsid w:val="00B57B4C"/>
    <w:rsid w:val="00B609F1"/>
    <w:rsid w:val="00B613C6"/>
    <w:rsid w:val="00B62D56"/>
    <w:rsid w:val="00B65EBB"/>
    <w:rsid w:val="00B70771"/>
    <w:rsid w:val="00B71406"/>
    <w:rsid w:val="00B75DD1"/>
    <w:rsid w:val="00B8254D"/>
    <w:rsid w:val="00B82691"/>
    <w:rsid w:val="00B83E99"/>
    <w:rsid w:val="00B901BD"/>
    <w:rsid w:val="00B91946"/>
    <w:rsid w:val="00B92A01"/>
    <w:rsid w:val="00B93F17"/>
    <w:rsid w:val="00B94698"/>
    <w:rsid w:val="00B951C1"/>
    <w:rsid w:val="00BA4E5A"/>
    <w:rsid w:val="00BB22E1"/>
    <w:rsid w:val="00BB46A3"/>
    <w:rsid w:val="00BC270E"/>
    <w:rsid w:val="00BC7F10"/>
    <w:rsid w:val="00BD04C3"/>
    <w:rsid w:val="00BD2D98"/>
    <w:rsid w:val="00BF081C"/>
    <w:rsid w:val="00BF7B2D"/>
    <w:rsid w:val="00C002C9"/>
    <w:rsid w:val="00C00F59"/>
    <w:rsid w:val="00C0395C"/>
    <w:rsid w:val="00C048B2"/>
    <w:rsid w:val="00C120BE"/>
    <w:rsid w:val="00C130D2"/>
    <w:rsid w:val="00C15D05"/>
    <w:rsid w:val="00C17161"/>
    <w:rsid w:val="00C21E72"/>
    <w:rsid w:val="00C27D30"/>
    <w:rsid w:val="00C378E3"/>
    <w:rsid w:val="00C37BE8"/>
    <w:rsid w:val="00C544DD"/>
    <w:rsid w:val="00C56B5B"/>
    <w:rsid w:val="00C64162"/>
    <w:rsid w:val="00C6486B"/>
    <w:rsid w:val="00C7209D"/>
    <w:rsid w:val="00C72C69"/>
    <w:rsid w:val="00C75BC7"/>
    <w:rsid w:val="00C8300D"/>
    <w:rsid w:val="00C8726F"/>
    <w:rsid w:val="00C919BF"/>
    <w:rsid w:val="00C95647"/>
    <w:rsid w:val="00CA365A"/>
    <w:rsid w:val="00CA4EE9"/>
    <w:rsid w:val="00CB00E1"/>
    <w:rsid w:val="00CB4F8D"/>
    <w:rsid w:val="00CC298A"/>
    <w:rsid w:val="00CC601D"/>
    <w:rsid w:val="00CC6A78"/>
    <w:rsid w:val="00CD0100"/>
    <w:rsid w:val="00CD049C"/>
    <w:rsid w:val="00CD3264"/>
    <w:rsid w:val="00CD444F"/>
    <w:rsid w:val="00CD6898"/>
    <w:rsid w:val="00CD6DBF"/>
    <w:rsid w:val="00CE309E"/>
    <w:rsid w:val="00CE3C16"/>
    <w:rsid w:val="00CE62B9"/>
    <w:rsid w:val="00CF198D"/>
    <w:rsid w:val="00CF1B7B"/>
    <w:rsid w:val="00CF5DEE"/>
    <w:rsid w:val="00CF667C"/>
    <w:rsid w:val="00CF69A6"/>
    <w:rsid w:val="00D00BC2"/>
    <w:rsid w:val="00D034BC"/>
    <w:rsid w:val="00D062FF"/>
    <w:rsid w:val="00D07C43"/>
    <w:rsid w:val="00D17421"/>
    <w:rsid w:val="00D21137"/>
    <w:rsid w:val="00D235E6"/>
    <w:rsid w:val="00D23831"/>
    <w:rsid w:val="00D23DE2"/>
    <w:rsid w:val="00D2413B"/>
    <w:rsid w:val="00D251E9"/>
    <w:rsid w:val="00D30B06"/>
    <w:rsid w:val="00D32BD4"/>
    <w:rsid w:val="00D40F32"/>
    <w:rsid w:val="00D415AC"/>
    <w:rsid w:val="00D42A2B"/>
    <w:rsid w:val="00D43C37"/>
    <w:rsid w:val="00D509BF"/>
    <w:rsid w:val="00D52728"/>
    <w:rsid w:val="00D52D15"/>
    <w:rsid w:val="00D61CB2"/>
    <w:rsid w:val="00D629F0"/>
    <w:rsid w:val="00D73E98"/>
    <w:rsid w:val="00D75011"/>
    <w:rsid w:val="00D821EA"/>
    <w:rsid w:val="00D827D1"/>
    <w:rsid w:val="00D863C1"/>
    <w:rsid w:val="00D86EB6"/>
    <w:rsid w:val="00D8702C"/>
    <w:rsid w:val="00D915F2"/>
    <w:rsid w:val="00D9305C"/>
    <w:rsid w:val="00D94927"/>
    <w:rsid w:val="00D95444"/>
    <w:rsid w:val="00D97ADB"/>
    <w:rsid w:val="00DA682E"/>
    <w:rsid w:val="00DB2D95"/>
    <w:rsid w:val="00DB5CA5"/>
    <w:rsid w:val="00DB6097"/>
    <w:rsid w:val="00DB72E3"/>
    <w:rsid w:val="00DB7707"/>
    <w:rsid w:val="00DC06E8"/>
    <w:rsid w:val="00DC0D09"/>
    <w:rsid w:val="00DC5A09"/>
    <w:rsid w:val="00DC7AAF"/>
    <w:rsid w:val="00DD275B"/>
    <w:rsid w:val="00DD5D03"/>
    <w:rsid w:val="00DD6580"/>
    <w:rsid w:val="00DD6A64"/>
    <w:rsid w:val="00DE2B27"/>
    <w:rsid w:val="00DE5B57"/>
    <w:rsid w:val="00DF38ED"/>
    <w:rsid w:val="00DF4DA9"/>
    <w:rsid w:val="00DF5A89"/>
    <w:rsid w:val="00E01FF1"/>
    <w:rsid w:val="00E03093"/>
    <w:rsid w:val="00E04ECF"/>
    <w:rsid w:val="00E07AC2"/>
    <w:rsid w:val="00E12F4C"/>
    <w:rsid w:val="00E1333C"/>
    <w:rsid w:val="00E14F93"/>
    <w:rsid w:val="00E17FFA"/>
    <w:rsid w:val="00E20FD2"/>
    <w:rsid w:val="00E265BE"/>
    <w:rsid w:val="00E32E31"/>
    <w:rsid w:val="00E35A60"/>
    <w:rsid w:val="00E36E65"/>
    <w:rsid w:val="00E378BA"/>
    <w:rsid w:val="00E41F98"/>
    <w:rsid w:val="00E44CD4"/>
    <w:rsid w:val="00E457F6"/>
    <w:rsid w:val="00E53630"/>
    <w:rsid w:val="00E54C92"/>
    <w:rsid w:val="00E55741"/>
    <w:rsid w:val="00E57DB1"/>
    <w:rsid w:val="00E60C44"/>
    <w:rsid w:val="00E64591"/>
    <w:rsid w:val="00E65783"/>
    <w:rsid w:val="00E66F4D"/>
    <w:rsid w:val="00E767A2"/>
    <w:rsid w:val="00E769BA"/>
    <w:rsid w:val="00E91F26"/>
    <w:rsid w:val="00E97D89"/>
    <w:rsid w:val="00EA0001"/>
    <w:rsid w:val="00EA191A"/>
    <w:rsid w:val="00EA4DE3"/>
    <w:rsid w:val="00EA54CB"/>
    <w:rsid w:val="00EB1F33"/>
    <w:rsid w:val="00EB33FB"/>
    <w:rsid w:val="00EB5FB2"/>
    <w:rsid w:val="00EB7818"/>
    <w:rsid w:val="00EC1D68"/>
    <w:rsid w:val="00EC4542"/>
    <w:rsid w:val="00EC48BD"/>
    <w:rsid w:val="00ED015F"/>
    <w:rsid w:val="00ED1260"/>
    <w:rsid w:val="00ED55C9"/>
    <w:rsid w:val="00EE2C4E"/>
    <w:rsid w:val="00EE354B"/>
    <w:rsid w:val="00EF0848"/>
    <w:rsid w:val="00EF0E5A"/>
    <w:rsid w:val="00EF60CB"/>
    <w:rsid w:val="00EF640D"/>
    <w:rsid w:val="00EF6F97"/>
    <w:rsid w:val="00F05003"/>
    <w:rsid w:val="00F12D86"/>
    <w:rsid w:val="00F13E56"/>
    <w:rsid w:val="00F20B83"/>
    <w:rsid w:val="00F22880"/>
    <w:rsid w:val="00F2342B"/>
    <w:rsid w:val="00F2654D"/>
    <w:rsid w:val="00F34288"/>
    <w:rsid w:val="00F361E5"/>
    <w:rsid w:val="00F3728A"/>
    <w:rsid w:val="00F376EC"/>
    <w:rsid w:val="00F41195"/>
    <w:rsid w:val="00F44D0B"/>
    <w:rsid w:val="00F528BF"/>
    <w:rsid w:val="00F55379"/>
    <w:rsid w:val="00F57F6F"/>
    <w:rsid w:val="00F63D2A"/>
    <w:rsid w:val="00F652C3"/>
    <w:rsid w:val="00F657BF"/>
    <w:rsid w:val="00F70BDB"/>
    <w:rsid w:val="00F72AE7"/>
    <w:rsid w:val="00F7609E"/>
    <w:rsid w:val="00F76BA1"/>
    <w:rsid w:val="00F77F3B"/>
    <w:rsid w:val="00F93AB1"/>
    <w:rsid w:val="00F948CA"/>
    <w:rsid w:val="00F96414"/>
    <w:rsid w:val="00FA412C"/>
    <w:rsid w:val="00FA5B30"/>
    <w:rsid w:val="00FA713E"/>
    <w:rsid w:val="00FA7227"/>
    <w:rsid w:val="00FB1811"/>
    <w:rsid w:val="00FB62BA"/>
    <w:rsid w:val="00FD0B98"/>
    <w:rsid w:val="00FD25A7"/>
    <w:rsid w:val="00FD2DBD"/>
    <w:rsid w:val="00FD7408"/>
    <w:rsid w:val="00FE4494"/>
    <w:rsid w:val="00FE4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stroke weight=".05pt"/>
    </o:shapedefaults>
    <o:shapelayout v:ext="edit">
      <o:idmap v:ext="edit" data="1"/>
    </o:shapelayout>
  </w:shapeDefaults>
  <w:decimalSymbol w:val=","/>
  <w:listSeparator w:val=";"/>
  <w14:docId w14:val="4728B5C7"/>
  <w15:chartTrackingRefBased/>
  <w15:docId w15:val="{9C4B0FFB-79B0-488A-B91D-F868BE59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Address"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98"/>
  </w:style>
  <w:style w:type="paragraph" w:styleId="Ttulo1">
    <w:name w:val="heading 1"/>
    <w:basedOn w:val="Normal"/>
    <w:next w:val="Normal"/>
    <w:qFormat/>
    <w:pPr>
      <w:keepNext/>
      <w:jc w:val="center"/>
      <w:outlineLvl w:val="0"/>
    </w:pPr>
    <w:rPr>
      <w:rFonts w:ascii="Arial" w:hAnsi="Arial"/>
      <w:b/>
      <w:sz w:val="16"/>
    </w:rPr>
  </w:style>
  <w:style w:type="paragraph" w:styleId="Ttulo2">
    <w:name w:val="heading 2"/>
    <w:basedOn w:val="Normal"/>
    <w:next w:val="Normal"/>
    <w:qFormat/>
    <w:pPr>
      <w:keepNext/>
      <w:tabs>
        <w:tab w:val="right" w:pos="9198"/>
      </w:tabs>
      <w:suppressAutoHyphens/>
      <w:ind w:left="426"/>
      <w:jc w:val="right"/>
      <w:outlineLvl w:val="1"/>
    </w:pPr>
    <w:rPr>
      <w:rFonts w:ascii="Arial" w:hAnsi="Arial"/>
      <w:spacing w:val="-3"/>
      <w:sz w:val="24"/>
    </w:rPr>
  </w:style>
  <w:style w:type="paragraph" w:styleId="Ttulo3">
    <w:name w:val="heading 3"/>
    <w:basedOn w:val="Normal"/>
    <w:next w:val="Normal"/>
    <w:qFormat/>
    <w:pPr>
      <w:keepNext/>
      <w:tabs>
        <w:tab w:val="left" w:pos="-720"/>
      </w:tabs>
      <w:suppressAutoHyphens/>
      <w:ind w:left="426"/>
      <w:jc w:val="center"/>
      <w:outlineLvl w:val="2"/>
    </w:pPr>
    <w:rPr>
      <w:rFonts w:ascii="Arial" w:hAnsi="Arial"/>
      <w:spacing w:val="-3"/>
      <w:sz w:val="24"/>
    </w:rPr>
  </w:style>
  <w:style w:type="paragraph" w:styleId="Ttulo4">
    <w:name w:val="heading 4"/>
    <w:basedOn w:val="Normal"/>
    <w:next w:val="Normal"/>
    <w:qFormat/>
    <w:pPr>
      <w:keepNext/>
      <w:tabs>
        <w:tab w:val="left" w:pos="-720"/>
      </w:tabs>
      <w:suppressAutoHyphens/>
      <w:ind w:left="426"/>
      <w:jc w:val="center"/>
      <w:outlineLvl w:val="3"/>
    </w:pPr>
    <w:rPr>
      <w:rFonts w:ascii="Arial" w:hAnsi="Arial"/>
      <w:b/>
      <w:spacing w:val="-3"/>
      <w:sz w:val="24"/>
    </w:rPr>
  </w:style>
  <w:style w:type="paragraph" w:styleId="Ttulo5">
    <w:name w:val="heading 5"/>
    <w:basedOn w:val="Normal"/>
    <w:next w:val="Normal"/>
    <w:qFormat/>
    <w:pPr>
      <w:keepNext/>
      <w:tabs>
        <w:tab w:val="left" w:pos="-720"/>
      </w:tabs>
      <w:suppressAutoHyphens/>
      <w:ind w:left="426"/>
      <w:jc w:val="both"/>
      <w:outlineLvl w:val="4"/>
    </w:pPr>
    <w:rPr>
      <w:rFonts w:ascii="Arial" w:hAnsi="Arial"/>
      <w:b/>
      <w:spacing w:val="-3"/>
    </w:rPr>
  </w:style>
  <w:style w:type="paragraph" w:styleId="Ttulo6">
    <w:name w:val="heading 6"/>
    <w:basedOn w:val="Normal"/>
    <w:next w:val="Normal"/>
    <w:qFormat/>
    <w:pPr>
      <w:keepNext/>
      <w:ind w:left="448"/>
      <w:jc w:val="both"/>
      <w:outlineLvl w:val="5"/>
    </w:pPr>
    <w:rPr>
      <w:rFonts w:ascii="Arial" w:hAnsi="Arial"/>
      <w:b/>
    </w:rPr>
  </w:style>
  <w:style w:type="paragraph" w:styleId="Ttulo7">
    <w:name w:val="heading 7"/>
    <w:basedOn w:val="Normal"/>
    <w:next w:val="Normal"/>
    <w:qFormat/>
    <w:pPr>
      <w:keepNext/>
      <w:jc w:val="right"/>
      <w:outlineLvl w:val="6"/>
    </w:pPr>
    <w:rPr>
      <w:rFonts w:ascii="Comic Sans MS" w:hAnsi="Comic Sans MS"/>
      <w:sz w:val="24"/>
    </w:rPr>
  </w:style>
  <w:style w:type="paragraph" w:styleId="Ttulo8">
    <w:name w:val="heading 8"/>
    <w:basedOn w:val="Normal"/>
    <w:next w:val="Normal"/>
    <w:qFormat/>
    <w:pPr>
      <w:keepNext/>
      <w:jc w:val="center"/>
      <w:outlineLvl w:val="7"/>
    </w:pPr>
    <w:rPr>
      <w:rFonts w:ascii="Comic Sans MS" w:hAnsi="Comic Sans M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Arial" w:hAnsi="Arial"/>
      <w:sz w:val="24"/>
      <w:lang w:val="es-ES_tradnl"/>
    </w:rPr>
  </w:style>
  <w:style w:type="paragraph" w:styleId="Sangradetextonormal">
    <w:name w:val="Body Text Indent"/>
    <w:basedOn w:val="Normal"/>
    <w:pPr>
      <w:spacing w:before="120" w:after="120" w:line="360" w:lineRule="auto"/>
      <w:ind w:left="448"/>
      <w:jc w:val="both"/>
    </w:pPr>
    <w:rPr>
      <w:rFonts w:ascii="Arial" w:hAnsi="Arial"/>
    </w:rPr>
  </w:style>
  <w:style w:type="paragraph" w:styleId="Textosinformato">
    <w:name w:val="Plain Text"/>
    <w:basedOn w:val="Normal"/>
    <w:rPr>
      <w:rFonts w:ascii="Courier New" w:hAnsi="Courier New"/>
    </w:rPr>
  </w:style>
  <w:style w:type="paragraph" w:customStyle="1" w:styleId="documento-tit">
    <w:name w:val="documento-tit"/>
    <w:basedOn w:val="Normal"/>
    <w:rsid w:val="00A9659E"/>
    <w:pPr>
      <w:pBdr>
        <w:bottom w:val="single" w:sz="6" w:space="12" w:color="AAAAAA"/>
      </w:pBdr>
      <w:shd w:val="clear" w:color="auto" w:fill="F8F8F8"/>
    </w:pPr>
    <w:rPr>
      <w:color w:val="000000"/>
      <w:sz w:val="31"/>
      <w:szCs w:val="31"/>
    </w:rPr>
  </w:style>
  <w:style w:type="paragraph" w:customStyle="1" w:styleId="parrafo">
    <w:name w:val="parrafo"/>
    <w:basedOn w:val="Normal"/>
    <w:rsid w:val="00A9659E"/>
    <w:pPr>
      <w:spacing w:before="100" w:beforeAutospacing="1" w:after="100" w:afterAutospacing="1"/>
    </w:pPr>
    <w:rPr>
      <w:sz w:val="24"/>
      <w:szCs w:val="24"/>
    </w:rPr>
  </w:style>
  <w:style w:type="paragraph" w:customStyle="1" w:styleId="articulo">
    <w:name w:val="articulo"/>
    <w:basedOn w:val="Normal"/>
    <w:rsid w:val="00A9659E"/>
    <w:pPr>
      <w:spacing w:before="100" w:beforeAutospacing="1" w:after="100" w:afterAutospacing="1"/>
    </w:pPr>
    <w:rPr>
      <w:sz w:val="24"/>
      <w:szCs w:val="24"/>
    </w:rPr>
  </w:style>
  <w:style w:type="character" w:styleId="Nmerodepgina">
    <w:name w:val="page number"/>
    <w:basedOn w:val="Fuentedeprrafopredeter"/>
    <w:rsid w:val="000236F4"/>
  </w:style>
  <w:style w:type="character" w:styleId="Refdecomentario">
    <w:name w:val="annotation reference"/>
    <w:semiHidden/>
    <w:rsid w:val="0001754C"/>
    <w:rPr>
      <w:sz w:val="16"/>
      <w:szCs w:val="16"/>
    </w:rPr>
  </w:style>
  <w:style w:type="paragraph" w:styleId="Textocomentario">
    <w:name w:val="annotation text"/>
    <w:basedOn w:val="Normal"/>
    <w:link w:val="TextocomentarioCar"/>
    <w:semiHidden/>
    <w:rsid w:val="0001754C"/>
  </w:style>
  <w:style w:type="paragraph" w:styleId="Asuntodelcomentario">
    <w:name w:val="annotation subject"/>
    <w:basedOn w:val="Textocomentario"/>
    <w:next w:val="Textocomentario"/>
    <w:semiHidden/>
    <w:rsid w:val="0001754C"/>
    <w:rPr>
      <w:b/>
      <w:bCs/>
    </w:rPr>
  </w:style>
  <w:style w:type="paragraph" w:styleId="Textodeglobo">
    <w:name w:val="Balloon Text"/>
    <w:basedOn w:val="Normal"/>
    <w:semiHidden/>
    <w:rsid w:val="0001754C"/>
    <w:rPr>
      <w:rFonts w:ascii="Tahoma" w:hAnsi="Tahoma" w:cs="Tahoma"/>
      <w:sz w:val="16"/>
      <w:szCs w:val="16"/>
    </w:rPr>
  </w:style>
  <w:style w:type="paragraph" w:styleId="Textonotapie">
    <w:name w:val="footnote text"/>
    <w:basedOn w:val="Normal"/>
    <w:semiHidden/>
    <w:rsid w:val="008D0A91"/>
  </w:style>
  <w:style w:type="character" w:styleId="Refdenotaalpie">
    <w:name w:val="footnote reference"/>
    <w:semiHidden/>
    <w:rsid w:val="008D0A91"/>
    <w:rPr>
      <w:vertAlign w:val="superscript"/>
    </w:rPr>
  </w:style>
  <w:style w:type="character" w:styleId="Textoennegrita">
    <w:name w:val="Strong"/>
    <w:qFormat/>
    <w:rsid w:val="00F96414"/>
    <w:rPr>
      <w:b/>
      <w:bCs/>
    </w:rPr>
  </w:style>
  <w:style w:type="paragraph" w:styleId="DireccinHTML">
    <w:name w:val="HTML Address"/>
    <w:basedOn w:val="Normal"/>
    <w:link w:val="DireccinHTMLCar"/>
    <w:uiPriority w:val="99"/>
    <w:unhideWhenUsed/>
    <w:rsid w:val="00326F8C"/>
    <w:rPr>
      <w:i/>
      <w:iCs/>
      <w:sz w:val="24"/>
      <w:szCs w:val="24"/>
    </w:rPr>
  </w:style>
  <w:style w:type="character" w:customStyle="1" w:styleId="DireccinHTMLCar">
    <w:name w:val="Dirección HTML Car"/>
    <w:link w:val="DireccinHTML"/>
    <w:uiPriority w:val="99"/>
    <w:rsid w:val="00326F8C"/>
    <w:rPr>
      <w:i/>
      <w:iCs/>
      <w:sz w:val="24"/>
      <w:szCs w:val="24"/>
    </w:rPr>
  </w:style>
  <w:style w:type="character" w:customStyle="1" w:styleId="hidden-content1">
    <w:name w:val="hidden-content1"/>
    <w:basedOn w:val="Fuentedeprrafopredeter"/>
    <w:rsid w:val="00326F8C"/>
  </w:style>
  <w:style w:type="character" w:customStyle="1" w:styleId="PiedepginaCar">
    <w:name w:val="Pie de página Car"/>
    <w:link w:val="Piedepgina"/>
    <w:uiPriority w:val="99"/>
    <w:rsid w:val="00BD04C3"/>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rsid w:val="006F4BB1"/>
    <w:pPr>
      <w:ind w:left="720"/>
      <w:contextualSpacing/>
    </w:pPr>
    <w:rPr>
      <w:rFonts w:ascii="Calibri" w:eastAsia="Calibri" w:hAnsi="Calibri" w:cs="Calibri"/>
      <w:sz w:val="22"/>
      <w:szCs w:val="22"/>
      <w:lang w:eastAsia="en-US"/>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6F4BB1"/>
    <w:rPr>
      <w:rFonts w:ascii="Calibri" w:eastAsia="Calibri" w:hAnsi="Calibri" w:cs="Calibri"/>
      <w:sz w:val="22"/>
      <w:szCs w:val="22"/>
      <w:lang w:eastAsia="en-US"/>
    </w:rPr>
  </w:style>
  <w:style w:type="paragraph" w:customStyle="1" w:styleId="TableParagraph">
    <w:name w:val="Table Paragraph"/>
    <w:basedOn w:val="Normal"/>
    <w:uiPriority w:val="1"/>
    <w:qFormat/>
    <w:rsid w:val="008D73CB"/>
    <w:pPr>
      <w:widowControl w:val="0"/>
      <w:autoSpaceDE w:val="0"/>
      <w:autoSpaceDN w:val="0"/>
    </w:pPr>
    <w:rPr>
      <w:rFonts w:ascii="Arial" w:eastAsia="Arial" w:hAnsi="Arial" w:cs="Arial"/>
      <w:sz w:val="22"/>
      <w:szCs w:val="22"/>
      <w:lang w:bidi="es-ES"/>
    </w:rPr>
  </w:style>
  <w:style w:type="paragraph" w:customStyle="1" w:styleId="parrafo2">
    <w:name w:val="parrafo_2"/>
    <w:basedOn w:val="Normal"/>
    <w:rsid w:val="004522DE"/>
    <w:pPr>
      <w:spacing w:before="100" w:beforeAutospacing="1" w:after="100" w:afterAutospacing="1"/>
    </w:pPr>
    <w:rPr>
      <w:sz w:val="24"/>
      <w:szCs w:val="24"/>
    </w:rPr>
  </w:style>
  <w:style w:type="paragraph" w:styleId="Revisin">
    <w:name w:val="Revision"/>
    <w:hidden/>
    <w:uiPriority w:val="99"/>
    <w:semiHidden/>
    <w:rsid w:val="00521B50"/>
  </w:style>
  <w:style w:type="paragraph" w:customStyle="1" w:styleId="Default">
    <w:name w:val="Default"/>
    <w:rsid w:val="008160B1"/>
    <w:pPr>
      <w:autoSpaceDE w:val="0"/>
      <w:autoSpaceDN w:val="0"/>
      <w:adjustRightInd w:val="0"/>
    </w:pPr>
    <w:rPr>
      <w:rFonts w:ascii="Arial" w:hAnsi="Arial" w:cs="Arial"/>
      <w:color w:val="000000"/>
      <w:sz w:val="24"/>
      <w:szCs w:val="24"/>
    </w:rPr>
  </w:style>
  <w:style w:type="paragraph" w:customStyle="1" w:styleId="CM4">
    <w:name w:val="CM4"/>
    <w:basedOn w:val="Default"/>
    <w:next w:val="Default"/>
    <w:uiPriority w:val="99"/>
    <w:rsid w:val="008160B1"/>
    <w:rPr>
      <w:rFonts w:ascii="Times New Roman" w:hAnsi="Times New Roman" w:cs="Times New Roman"/>
      <w:color w:val="auto"/>
    </w:rPr>
  </w:style>
  <w:style w:type="character" w:styleId="Hipervnculo">
    <w:name w:val="Hyperlink"/>
    <w:basedOn w:val="Fuentedeprrafopredeter"/>
    <w:rsid w:val="00687D23"/>
    <w:rPr>
      <w:color w:val="0563C1" w:themeColor="hyperlink"/>
      <w:u w:val="single"/>
    </w:rPr>
  </w:style>
  <w:style w:type="character" w:customStyle="1" w:styleId="textonegrita">
    <w:name w:val="textonegrita"/>
    <w:basedOn w:val="Fuentedeprrafopredeter"/>
    <w:rsid w:val="0052037D"/>
  </w:style>
  <w:style w:type="character" w:styleId="Hipervnculovisitado">
    <w:name w:val="FollowedHyperlink"/>
    <w:basedOn w:val="Fuentedeprrafopredeter"/>
    <w:rsid w:val="003B587C"/>
    <w:rPr>
      <w:color w:val="954F72" w:themeColor="followedHyperlink"/>
      <w:u w:val="single"/>
    </w:rPr>
  </w:style>
  <w:style w:type="character" w:styleId="nfasis">
    <w:name w:val="Emphasis"/>
    <w:basedOn w:val="Fuentedeprrafopredeter"/>
    <w:uiPriority w:val="20"/>
    <w:qFormat/>
    <w:rsid w:val="00457E84"/>
    <w:rPr>
      <w:i/>
      <w:iCs/>
    </w:rPr>
  </w:style>
  <w:style w:type="paragraph" w:customStyle="1" w:styleId="CM1">
    <w:name w:val="CM1"/>
    <w:basedOn w:val="Default"/>
    <w:next w:val="Default"/>
    <w:uiPriority w:val="99"/>
    <w:rsid w:val="009E337C"/>
    <w:rPr>
      <w:rFonts w:ascii="EU Albertina" w:hAnsi="EU Albertina" w:cs="Times New Roman"/>
      <w:color w:val="auto"/>
    </w:rPr>
  </w:style>
  <w:style w:type="paragraph" w:customStyle="1" w:styleId="CM3">
    <w:name w:val="CM3"/>
    <w:basedOn w:val="Default"/>
    <w:next w:val="Default"/>
    <w:uiPriority w:val="99"/>
    <w:rsid w:val="009E337C"/>
    <w:rPr>
      <w:rFonts w:ascii="EU Albertina" w:hAnsi="EU Albertina" w:cs="Times New Roman"/>
      <w:color w:val="auto"/>
    </w:rPr>
  </w:style>
  <w:style w:type="character" w:customStyle="1" w:styleId="Mencinsinresolver1">
    <w:name w:val="Mención sin resolver1"/>
    <w:basedOn w:val="Fuentedeprrafopredeter"/>
    <w:uiPriority w:val="99"/>
    <w:semiHidden/>
    <w:unhideWhenUsed/>
    <w:rsid w:val="00E91F26"/>
    <w:rPr>
      <w:color w:val="605E5C"/>
      <w:shd w:val="clear" w:color="auto" w:fill="E1DFDD"/>
    </w:rPr>
  </w:style>
  <w:style w:type="character" w:customStyle="1" w:styleId="Mencinsinresolver2">
    <w:name w:val="Mención sin resolver2"/>
    <w:basedOn w:val="Fuentedeprrafopredeter"/>
    <w:uiPriority w:val="99"/>
    <w:semiHidden/>
    <w:unhideWhenUsed/>
    <w:rsid w:val="00B5479E"/>
    <w:rPr>
      <w:color w:val="605E5C"/>
      <w:shd w:val="clear" w:color="auto" w:fill="E1DFDD"/>
    </w:rPr>
  </w:style>
  <w:style w:type="character" w:customStyle="1" w:styleId="TextocomentarioCar">
    <w:name w:val="Texto comentario Car"/>
    <w:basedOn w:val="Fuentedeprrafopredeter"/>
    <w:link w:val="Textocomentario"/>
    <w:semiHidden/>
    <w:rsid w:val="00192C00"/>
  </w:style>
  <w:style w:type="character" w:customStyle="1" w:styleId="Mencinsinresolver3">
    <w:name w:val="Mención sin resolver3"/>
    <w:basedOn w:val="Fuentedeprrafopredeter"/>
    <w:uiPriority w:val="99"/>
    <w:semiHidden/>
    <w:unhideWhenUsed/>
    <w:rsid w:val="006C01E7"/>
    <w:rPr>
      <w:color w:val="605E5C"/>
      <w:shd w:val="clear" w:color="auto" w:fill="E1DFDD"/>
    </w:rPr>
  </w:style>
  <w:style w:type="character" w:customStyle="1" w:styleId="UnresolvedMention">
    <w:name w:val="Unresolved Mention"/>
    <w:basedOn w:val="Fuentedeprrafopredeter"/>
    <w:uiPriority w:val="99"/>
    <w:semiHidden/>
    <w:unhideWhenUsed/>
    <w:rsid w:val="00CD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3820">
      <w:bodyDiv w:val="1"/>
      <w:marLeft w:val="0"/>
      <w:marRight w:val="0"/>
      <w:marTop w:val="0"/>
      <w:marBottom w:val="0"/>
      <w:divBdr>
        <w:top w:val="none" w:sz="0" w:space="0" w:color="auto"/>
        <w:left w:val="none" w:sz="0" w:space="0" w:color="auto"/>
        <w:bottom w:val="none" w:sz="0" w:space="0" w:color="auto"/>
        <w:right w:val="none" w:sz="0" w:space="0" w:color="auto"/>
      </w:divBdr>
      <w:divsChild>
        <w:div w:id="1108115395">
          <w:marLeft w:val="1440"/>
          <w:marRight w:val="0"/>
          <w:marTop w:val="0"/>
          <w:marBottom w:val="0"/>
          <w:divBdr>
            <w:top w:val="none" w:sz="0" w:space="0" w:color="auto"/>
            <w:left w:val="none" w:sz="0" w:space="0" w:color="auto"/>
            <w:bottom w:val="none" w:sz="0" w:space="0" w:color="auto"/>
            <w:right w:val="none" w:sz="0" w:space="0" w:color="auto"/>
          </w:divBdr>
        </w:div>
        <w:div w:id="1378119776">
          <w:marLeft w:val="1440"/>
          <w:marRight w:val="0"/>
          <w:marTop w:val="0"/>
          <w:marBottom w:val="0"/>
          <w:divBdr>
            <w:top w:val="none" w:sz="0" w:space="0" w:color="auto"/>
            <w:left w:val="none" w:sz="0" w:space="0" w:color="auto"/>
            <w:bottom w:val="none" w:sz="0" w:space="0" w:color="auto"/>
            <w:right w:val="none" w:sz="0" w:space="0" w:color="auto"/>
          </w:divBdr>
        </w:div>
        <w:div w:id="1053457622">
          <w:marLeft w:val="1440"/>
          <w:marRight w:val="0"/>
          <w:marTop w:val="0"/>
          <w:marBottom w:val="0"/>
          <w:divBdr>
            <w:top w:val="none" w:sz="0" w:space="0" w:color="auto"/>
            <w:left w:val="none" w:sz="0" w:space="0" w:color="auto"/>
            <w:bottom w:val="none" w:sz="0" w:space="0" w:color="auto"/>
            <w:right w:val="none" w:sz="0" w:space="0" w:color="auto"/>
          </w:divBdr>
        </w:div>
        <w:div w:id="597834621">
          <w:marLeft w:val="1440"/>
          <w:marRight w:val="0"/>
          <w:marTop w:val="0"/>
          <w:marBottom w:val="0"/>
          <w:divBdr>
            <w:top w:val="none" w:sz="0" w:space="0" w:color="auto"/>
            <w:left w:val="none" w:sz="0" w:space="0" w:color="auto"/>
            <w:bottom w:val="none" w:sz="0" w:space="0" w:color="auto"/>
            <w:right w:val="none" w:sz="0" w:space="0" w:color="auto"/>
          </w:divBdr>
        </w:div>
        <w:div w:id="1302035277">
          <w:marLeft w:val="1440"/>
          <w:marRight w:val="0"/>
          <w:marTop w:val="0"/>
          <w:marBottom w:val="0"/>
          <w:divBdr>
            <w:top w:val="none" w:sz="0" w:space="0" w:color="auto"/>
            <w:left w:val="none" w:sz="0" w:space="0" w:color="auto"/>
            <w:bottom w:val="none" w:sz="0" w:space="0" w:color="auto"/>
            <w:right w:val="none" w:sz="0" w:space="0" w:color="auto"/>
          </w:divBdr>
        </w:div>
        <w:div w:id="1236939419">
          <w:marLeft w:val="1440"/>
          <w:marRight w:val="0"/>
          <w:marTop w:val="0"/>
          <w:marBottom w:val="0"/>
          <w:divBdr>
            <w:top w:val="none" w:sz="0" w:space="0" w:color="auto"/>
            <w:left w:val="none" w:sz="0" w:space="0" w:color="auto"/>
            <w:bottom w:val="none" w:sz="0" w:space="0" w:color="auto"/>
            <w:right w:val="none" w:sz="0" w:space="0" w:color="auto"/>
          </w:divBdr>
        </w:div>
      </w:divsChild>
    </w:div>
    <w:div w:id="179662735">
      <w:bodyDiv w:val="1"/>
      <w:marLeft w:val="0"/>
      <w:marRight w:val="0"/>
      <w:marTop w:val="0"/>
      <w:marBottom w:val="0"/>
      <w:divBdr>
        <w:top w:val="none" w:sz="0" w:space="0" w:color="auto"/>
        <w:left w:val="none" w:sz="0" w:space="0" w:color="auto"/>
        <w:bottom w:val="none" w:sz="0" w:space="0" w:color="auto"/>
        <w:right w:val="none" w:sz="0" w:space="0" w:color="auto"/>
      </w:divBdr>
    </w:div>
    <w:div w:id="253563057">
      <w:bodyDiv w:val="1"/>
      <w:marLeft w:val="0"/>
      <w:marRight w:val="0"/>
      <w:marTop w:val="0"/>
      <w:marBottom w:val="0"/>
      <w:divBdr>
        <w:top w:val="none" w:sz="0" w:space="0" w:color="auto"/>
        <w:left w:val="none" w:sz="0" w:space="0" w:color="auto"/>
        <w:bottom w:val="none" w:sz="0" w:space="0" w:color="auto"/>
        <w:right w:val="none" w:sz="0" w:space="0" w:color="auto"/>
      </w:divBdr>
      <w:divsChild>
        <w:div w:id="1433625180">
          <w:marLeft w:val="720"/>
          <w:marRight w:val="0"/>
          <w:marTop w:val="0"/>
          <w:marBottom w:val="0"/>
          <w:divBdr>
            <w:top w:val="none" w:sz="0" w:space="0" w:color="auto"/>
            <w:left w:val="none" w:sz="0" w:space="0" w:color="auto"/>
            <w:bottom w:val="none" w:sz="0" w:space="0" w:color="auto"/>
            <w:right w:val="none" w:sz="0" w:space="0" w:color="auto"/>
          </w:divBdr>
        </w:div>
        <w:div w:id="246691370">
          <w:marLeft w:val="720"/>
          <w:marRight w:val="0"/>
          <w:marTop w:val="0"/>
          <w:marBottom w:val="0"/>
          <w:divBdr>
            <w:top w:val="none" w:sz="0" w:space="0" w:color="auto"/>
            <w:left w:val="none" w:sz="0" w:space="0" w:color="auto"/>
            <w:bottom w:val="none" w:sz="0" w:space="0" w:color="auto"/>
            <w:right w:val="none" w:sz="0" w:space="0" w:color="auto"/>
          </w:divBdr>
        </w:div>
        <w:div w:id="1781410006">
          <w:marLeft w:val="720"/>
          <w:marRight w:val="0"/>
          <w:marTop w:val="0"/>
          <w:marBottom w:val="0"/>
          <w:divBdr>
            <w:top w:val="none" w:sz="0" w:space="0" w:color="auto"/>
            <w:left w:val="none" w:sz="0" w:space="0" w:color="auto"/>
            <w:bottom w:val="none" w:sz="0" w:space="0" w:color="auto"/>
            <w:right w:val="none" w:sz="0" w:space="0" w:color="auto"/>
          </w:divBdr>
        </w:div>
        <w:div w:id="540895633">
          <w:marLeft w:val="720"/>
          <w:marRight w:val="0"/>
          <w:marTop w:val="0"/>
          <w:marBottom w:val="0"/>
          <w:divBdr>
            <w:top w:val="none" w:sz="0" w:space="0" w:color="auto"/>
            <w:left w:val="none" w:sz="0" w:space="0" w:color="auto"/>
            <w:bottom w:val="none" w:sz="0" w:space="0" w:color="auto"/>
            <w:right w:val="none" w:sz="0" w:space="0" w:color="auto"/>
          </w:divBdr>
        </w:div>
        <w:div w:id="1268151408">
          <w:marLeft w:val="1440"/>
          <w:marRight w:val="0"/>
          <w:marTop w:val="0"/>
          <w:marBottom w:val="0"/>
          <w:divBdr>
            <w:top w:val="none" w:sz="0" w:space="0" w:color="auto"/>
            <w:left w:val="none" w:sz="0" w:space="0" w:color="auto"/>
            <w:bottom w:val="none" w:sz="0" w:space="0" w:color="auto"/>
            <w:right w:val="none" w:sz="0" w:space="0" w:color="auto"/>
          </w:divBdr>
        </w:div>
        <w:div w:id="418792798">
          <w:marLeft w:val="1440"/>
          <w:marRight w:val="0"/>
          <w:marTop w:val="0"/>
          <w:marBottom w:val="0"/>
          <w:divBdr>
            <w:top w:val="none" w:sz="0" w:space="0" w:color="auto"/>
            <w:left w:val="none" w:sz="0" w:space="0" w:color="auto"/>
            <w:bottom w:val="none" w:sz="0" w:space="0" w:color="auto"/>
            <w:right w:val="none" w:sz="0" w:space="0" w:color="auto"/>
          </w:divBdr>
        </w:div>
        <w:div w:id="255597935">
          <w:marLeft w:val="1440"/>
          <w:marRight w:val="0"/>
          <w:marTop w:val="0"/>
          <w:marBottom w:val="0"/>
          <w:divBdr>
            <w:top w:val="none" w:sz="0" w:space="0" w:color="auto"/>
            <w:left w:val="none" w:sz="0" w:space="0" w:color="auto"/>
            <w:bottom w:val="none" w:sz="0" w:space="0" w:color="auto"/>
            <w:right w:val="none" w:sz="0" w:space="0" w:color="auto"/>
          </w:divBdr>
        </w:div>
        <w:div w:id="1934822529">
          <w:marLeft w:val="1440"/>
          <w:marRight w:val="0"/>
          <w:marTop w:val="0"/>
          <w:marBottom w:val="0"/>
          <w:divBdr>
            <w:top w:val="none" w:sz="0" w:space="0" w:color="auto"/>
            <w:left w:val="none" w:sz="0" w:space="0" w:color="auto"/>
            <w:bottom w:val="none" w:sz="0" w:space="0" w:color="auto"/>
            <w:right w:val="none" w:sz="0" w:space="0" w:color="auto"/>
          </w:divBdr>
        </w:div>
        <w:div w:id="1955863064">
          <w:marLeft w:val="1440"/>
          <w:marRight w:val="0"/>
          <w:marTop w:val="0"/>
          <w:marBottom w:val="0"/>
          <w:divBdr>
            <w:top w:val="none" w:sz="0" w:space="0" w:color="auto"/>
            <w:left w:val="none" w:sz="0" w:space="0" w:color="auto"/>
            <w:bottom w:val="none" w:sz="0" w:space="0" w:color="auto"/>
            <w:right w:val="none" w:sz="0" w:space="0" w:color="auto"/>
          </w:divBdr>
        </w:div>
        <w:div w:id="1377705186">
          <w:marLeft w:val="1440"/>
          <w:marRight w:val="0"/>
          <w:marTop w:val="0"/>
          <w:marBottom w:val="0"/>
          <w:divBdr>
            <w:top w:val="none" w:sz="0" w:space="0" w:color="auto"/>
            <w:left w:val="none" w:sz="0" w:space="0" w:color="auto"/>
            <w:bottom w:val="none" w:sz="0" w:space="0" w:color="auto"/>
            <w:right w:val="none" w:sz="0" w:space="0" w:color="auto"/>
          </w:divBdr>
        </w:div>
      </w:divsChild>
    </w:div>
    <w:div w:id="329481742">
      <w:bodyDiv w:val="1"/>
      <w:marLeft w:val="0"/>
      <w:marRight w:val="0"/>
      <w:marTop w:val="0"/>
      <w:marBottom w:val="0"/>
      <w:divBdr>
        <w:top w:val="none" w:sz="0" w:space="0" w:color="auto"/>
        <w:left w:val="none" w:sz="0" w:space="0" w:color="auto"/>
        <w:bottom w:val="none" w:sz="0" w:space="0" w:color="auto"/>
        <w:right w:val="none" w:sz="0" w:space="0" w:color="auto"/>
      </w:divBdr>
    </w:div>
    <w:div w:id="461733693">
      <w:bodyDiv w:val="1"/>
      <w:marLeft w:val="0"/>
      <w:marRight w:val="0"/>
      <w:marTop w:val="0"/>
      <w:marBottom w:val="0"/>
      <w:divBdr>
        <w:top w:val="none" w:sz="0" w:space="0" w:color="auto"/>
        <w:left w:val="none" w:sz="0" w:space="0" w:color="auto"/>
        <w:bottom w:val="none" w:sz="0" w:space="0" w:color="auto"/>
        <w:right w:val="none" w:sz="0" w:space="0" w:color="auto"/>
      </w:divBdr>
    </w:div>
    <w:div w:id="484322831">
      <w:bodyDiv w:val="1"/>
      <w:marLeft w:val="0"/>
      <w:marRight w:val="0"/>
      <w:marTop w:val="0"/>
      <w:marBottom w:val="0"/>
      <w:divBdr>
        <w:top w:val="none" w:sz="0" w:space="0" w:color="auto"/>
        <w:left w:val="none" w:sz="0" w:space="0" w:color="auto"/>
        <w:bottom w:val="none" w:sz="0" w:space="0" w:color="auto"/>
        <w:right w:val="none" w:sz="0" w:space="0" w:color="auto"/>
      </w:divBdr>
    </w:div>
    <w:div w:id="487743881">
      <w:bodyDiv w:val="1"/>
      <w:marLeft w:val="0"/>
      <w:marRight w:val="0"/>
      <w:marTop w:val="0"/>
      <w:marBottom w:val="0"/>
      <w:divBdr>
        <w:top w:val="none" w:sz="0" w:space="0" w:color="auto"/>
        <w:left w:val="none" w:sz="0" w:space="0" w:color="auto"/>
        <w:bottom w:val="none" w:sz="0" w:space="0" w:color="auto"/>
        <w:right w:val="none" w:sz="0" w:space="0" w:color="auto"/>
      </w:divBdr>
    </w:div>
    <w:div w:id="597566259">
      <w:bodyDiv w:val="1"/>
      <w:marLeft w:val="0"/>
      <w:marRight w:val="0"/>
      <w:marTop w:val="0"/>
      <w:marBottom w:val="0"/>
      <w:divBdr>
        <w:top w:val="none" w:sz="0" w:space="0" w:color="auto"/>
        <w:left w:val="none" w:sz="0" w:space="0" w:color="auto"/>
        <w:bottom w:val="none" w:sz="0" w:space="0" w:color="auto"/>
        <w:right w:val="none" w:sz="0" w:space="0" w:color="auto"/>
      </w:divBdr>
    </w:div>
    <w:div w:id="604313387">
      <w:bodyDiv w:val="1"/>
      <w:marLeft w:val="0"/>
      <w:marRight w:val="0"/>
      <w:marTop w:val="0"/>
      <w:marBottom w:val="0"/>
      <w:divBdr>
        <w:top w:val="none" w:sz="0" w:space="0" w:color="auto"/>
        <w:left w:val="none" w:sz="0" w:space="0" w:color="auto"/>
        <w:bottom w:val="none" w:sz="0" w:space="0" w:color="auto"/>
        <w:right w:val="none" w:sz="0" w:space="0" w:color="auto"/>
      </w:divBdr>
    </w:div>
    <w:div w:id="607197302">
      <w:bodyDiv w:val="1"/>
      <w:marLeft w:val="0"/>
      <w:marRight w:val="0"/>
      <w:marTop w:val="0"/>
      <w:marBottom w:val="0"/>
      <w:divBdr>
        <w:top w:val="none" w:sz="0" w:space="0" w:color="auto"/>
        <w:left w:val="none" w:sz="0" w:space="0" w:color="auto"/>
        <w:bottom w:val="none" w:sz="0" w:space="0" w:color="auto"/>
        <w:right w:val="none" w:sz="0" w:space="0" w:color="auto"/>
      </w:divBdr>
    </w:div>
    <w:div w:id="611861843">
      <w:bodyDiv w:val="1"/>
      <w:marLeft w:val="0"/>
      <w:marRight w:val="0"/>
      <w:marTop w:val="0"/>
      <w:marBottom w:val="0"/>
      <w:divBdr>
        <w:top w:val="none" w:sz="0" w:space="0" w:color="auto"/>
        <w:left w:val="none" w:sz="0" w:space="0" w:color="auto"/>
        <w:bottom w:val="none" w:sz="0" w:space="0" w:color="auto"/>
        <w:right w:val="none" w:sz="0" w:space="0" w:color="auto"/>
      </w:divBdr>
    </w:div>
    <w:div w:id="635329571">
      <w:bodyDiv w:val="1"/>
      <w:marLeft w:val="0"/>
      <w:marRight w:val="0"/>
      <w:marTop w:val="0"/>
      <w:marBottom w:val="0"/>
      <w:divBdr>
        <w:top w:val="none" w:sz="0" w:space="0" w:color="auto"/>
        <w:left w:val="none" w:sz="0" w:space="0" w:color="auto"/>
        <w:bottom w:val="none" w:sz="0" w:space="0" w:color="auto"/>
        <w:right w:val="none" w:sz="0" w:space="0" w:color="auto"/>
      </w:divBdr>
    </w:div>
    <w:div w:id="758451896">
      <w:bodyDiv w:val="1"/>
      <w:marLeft w:val="0"/>
      <w:marRight w:val="0"/>
      <w:marTop w:val="0"/>
      <w:marBottom w:val="0"/>
      <w:divBdr>
        <w:top w:val="none" w:sz="0" w:space="0" w:color="auto"/>
        <w:left w:val="none" w:sz="0" w:space="0" w:color="auto"/>
        <w:bottom w:val="none" w:sz="0" w:space="0" w:color="auto"/>
        <w:right w:val="none" w:sz="0" w:space="0" w:color="auto"/>
      </w:divBdr>
    </w:div>
    <w:div w:id="766004892">
      <w:bodyDiv w:val="1"/>
      <w:marLeft w:val="0"/>
      <w:marRight w:val="0"/>
      <w:marTop w:val="0"/>
      <w:marBottom w:val="0"/>
      <w:divBdr>
        <w:top w:val="none" w:sz="0" w:space="0" w:color="auto"/>
        <w:left w:val="none" w:sz="0" w:space="0" w:color="auto"/>
        <w:bottom w:val="none" w:sz="0" w:space="0" w:color="auto"/>
        <w:right w:val="none" w:sz="0" w:space="0" w:color="auto"/>
      </w:divBdr>
    </w:div>
    <w:div w:id="876040014">
      <w:bodyDiv w:val="1"/>
      <w:marLeft w:val="0"/>
      <w:marRight w:val="0"/>
      <w:marTop w:val="0"/>
      <w:marBottom w:val="0"/>
      <w:divBdr>
        <w:top w:val="none" w:sz="0" w:space="0" w:color="auto"/>
        <w:left w:val="none" w:sz="0" w:space="0" w:color="auto"/>
        <w:bottom w:val="none" w:sz="0" w:space="0" w:color="auto"/>
        <w:right w:val="none" w:sz="0" w:space="0" w:color="auto"/>
      </w:divBdr>
    </w:div>
    <w:div w:id="927689227">
      <w:bodyDiv w:val="1"/>
      <w:marLeft w:val="0"/>
      <w:marRight w:val="0"/>
      <w:marTop w:val="0"/>
      <w:marBottom w:val="0"/>
      <w:divBdr>
        <w:top w:val="none" w:sz="0" w:space="0" w:color="auto"/>
        <w:left w:val="none" w:sz="0" w:space="0" w:color="auto"/>
        <w:bottom w:val="none" w:sz="0" w:space="0" w:color="auto"/>
        <w:right w:val="none" w:sz="0" w:space="0" w:color="auto"/>
      </w:divBdr>
      <w:divsChild>
        <w:div w:id="978847523">
          <w:marLeft w:val="720"/>
          <w:marRight w:val="0"/>
          <w:marTop w:val="0"/>
          <w:marBottom w:val="0"/>
          <w:divBdr>
            <w:top w:val="none" w:sz="0" w:space="0" w:color="auto"/>
            <w:left w:val="none" w:sz="0" w:space="0" w:color="auto"/>
            <w:bottom w:val="none" w:sz="0" w:space="0" w:color="auto"/>
            <w:right w:val="none" w:sz="0" w:space="0" w:color="auto"/>
          </w:divBdr>
        </w:div>
        <w:div w:id="118765143">
          <w:marLeft w:val="1440"/>
          <w:marRight w:val="0"/>
          <w:marTop w:val="0"/>
          <w:marBottom w:val="0"/>
          <w:divBdr>
            <w:top w:val="none" w:sz="0" w:space="0" w:color="auto"/>
            <w:left w:val="none" w:sz="0" w:space="0" w:color="auto"/>
            <w:bottom w:val="none" w:sz="0" w:space="0" w:color="auto"/>
            <w:right w:val="none" w:sz="0" w:space="0" w:color="auto"/>
          </w:divBdr>
        </w:div>
        <w:div w:id="302737112">
          <w:marLeft w:val="1440"/>
          <w:marRight w:val="0"/>
          <w:marTop w:val="0"/>
          <w:marBottom w:val="0"/>
          <w:divBdr>
            <w:top w:val="none" w:sz="0" w:space="0" w:color="auto"/>
            <w:left w:val="none" w:sz="0" w:space="0" w:color="auto"/>
            <w:bottom w:val="none" w:sz="0" w:space="0" w:color="auto"/>
            <w:right w:val="none" w:sz="0" w:space="0" w:color="auto"/>
          </w:divBdr>
        </w:div>
        <w:div w:id="1341422357">
          <w:marLeft w:val="720"/>
          <w:marRight w:val="0"/>
          <w:marTop w:val="0"/>
          <w:marBottom w:val="0"/>
          <w:divBdr>
            <w:top w:val="none" w:sz="0" w:space="0" w:color="auto"/>
            <w:left w:val="none" w:sz="0" w:space="0" w:color="auto"/>
            <w:bottom w:val="none" w:sz="0" w:space="0" w:color="auto"/>
            <w:right w:val="none" w:sz="0" w:space="0" w:color="auto"/>
          </w:divBdr>
        </w:div>
        <w:div w:id="1195116297">
          <w:marLeft w:val="1440"/>
          <w:marRight w:val="0"/>
          <w:marTop w:val="0"/>
          <w:marBottom w:val="0"/>
          <w:divBdr>
            <w:top w:val="none" w:sz="0" w:space="0" w:color="auto"/>
            <w:left w:val="none" w:sz="0" w:space="0" w:color="auto"/>
            <w:bottom w:val="none" w:sz="0" w:space="0" w:color="auto"/>
            <w:right w:val="none" w:sz="0" w:space="0" w:color="auto"/>
          </w:divBdr>
        </w:div>
        <w:div w:id="917330155">
          <w:marLeft w:val="1440"/>
          <w:marRight w:val="0"/>
          <w:marTop w:val="0"/>
          <w:marBottom w:val="0"/>
          <w:divBdr>
            <w:top w:val="none" w:sz="0" w:space="0" w:color="auto"/>
            <w:left w:val="none" w:sz="0" w:space="0" w:color="auto"/>
            <w:bottom w:val="none" w:sz="0" w:space="0" w:color="auto"/>
            <w:right w:val="none" w:sz="0" w:space="0" w:color="auto"/>
          </w:divBdr>
        </w:div>
        <w:div w:id="210894915">
          <w:marLeft w:val="720"/>
          <w:marRight w:val="0"/>
          <w:marTop w:val="0"/>
          <w:marBottom w:val="0"/>
          <w:divBdr>
            <w:top w:val="none" w:sz="0" w:space="0" w:color="auto"/>
            <w:left w:val="none" w:sz="0" w:space="0" w:color="auto"/>
            <w:bottom w:val="none" w:sz="0" w:space="0" w:color="auto"/>
            <w:right w:val="none" w:sz="0" w:space="0" w:color="auto"/>
          </w:divBdr>
        </w:div>
        <w:div w:id="1938706914">
          <w:marLeft w:val="1440"/>
          <w:marRight w:val="0"/>
          <w:marTop w:val="0"/>
          <w:marBottom w:val="0"/>
          <w:divBdr>
            <w:top w:val="none" w:sz="0" w:space="0" w:color="auto"/>
            <w:left w:val="none" w:sz="0" w:space="0" w:color="auto"/>
            <w:bottom w:val="none" w:sz="0" w:space="0" w:color="auto"/>
            <w:right w:val="none" w:sz="0" w:space="0" w:color="auto"/>
          </w:divBdr>
        </w:div>
        <w:div w:id="13507437">
          <w:marLeft w:val="1440"/>
          <w:marRight w:val="0"/>
          <w:marTop w:val="0"/>
          <w:marBottom w:val="0"/>
          <w:divBdr>
            <w:top w:val="none" w:sz="0" w:space="0" w:color="auto"/>
            <w:left w:val="none" w:sz="0" w:space="0" w:color="auto"/>
            <w:bottom w:val="none" w:sz="0" w:space="0" w:color="auto"/>
            <w:right w:val="none" w:sz="0" w:space="0" w:color="auto"/>
          </w:divBdr>
        </w:div>
      </w:divsChild>
    </w:div>
    <w:div w:id="1050812670">
      <w:bodyDiv w:val="1"/>
      <w:marLeft w:val="0"/>
      <w:marRight w:val="0"/>
      <w:marTop w:val="0"/>
      <w:marBottom w:val="0"/>
      <w:divBdr>
        <w:top w:val="none" w:sz="0" w:space="0" w:color="auto"/>
        <w:left w:val="none" w:sz="0" w:space="0" w:color="auto"/>
        <w:bottom w:val="none" w:sz="0" w:space="0" w:color="auto"/>
        <w:right w:val="none" w:sz="0" w:space="0" w:color="auto"/>
      </w:divBdr>
      <w:divsChild>
        <w:div w:id="159856021">
          <w:marLeft w:val="0"/>
          <w:marRight w:val="0"/>
          <w:marTop w:val="0"/>
          <w:marBottom w:val="0"/>
          <w:divBdr>
            <w:top w:val="none" w:sz="0" w:space="0" w:color="auto"/>
            <w:left w:val="none" w:sz="0" w:space="0" w:color="auto"/>
            <w:bottom w:val="none" w:sz="0" w:space="0" w:color="auto"/>
            <w:right w:val="none" w:sz="0" w:space="0" w:color="auto"/>
          </w:divBdr>
          <w:divsChild>
            <w:div w:id="9723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626">
      <w:bodyDiv w:val="1"/>
      <w:marLeft w:val="0"/>
      <w:marRight w:val="0"/>
      <w:marTop w:val="0"/>
      <w:marBottom w:val="0"/>
      <w:divBdr>
        <w:top w:val="none" w:sz="0" w:space="0" w:color="auto"/>
        <w:left w:val="none" w:sz="0" w:space="0" w:color="auto"/>
        <w:bottom w:val="none" w:sz="0" w:space="0" w:color="auto"/>
        <w:right w:val="none" w:sz="0" w:space="0" w:color="auto"/>
      </w:divBdr>
      <w:divsChild>
        <w:div w:id="570431749">
          <w:marLeft w:val="720"/>
          <w:marRight w:val="0"/>
          <w:marTop w:val="0"/>
          <w:marBottom w:val="0"/>
          <w:divBdr>
            <w:top w:val="none" w:sz="0" w:space="0" w:color="auto"/>
            <w:left w:val="none" w:sz="0" w:space="0" w:color="auto"/>
            <w:bottom w:val="none" w:sz="0" w:space="0" w:color="auto"/>
            <w:right w:val="none" w:sz="0" w:space="0" w:color="auto"/>
          </w:divBdr>
        </w:div>
        <w:div w:id="448936980">
          <w:marLeft w:val="1440"/>
          <w:marRight w:val="0"/>
          <w:marTop w:val="0"/>
          <w:marBottom w:val="0"/>
          <w:divBdr>
            <w:top w:val="none" w:sz="0" w:space="0" w:color="auto"/>
            <w:left w:val="none" w:sz="0" w:space="0" w:color="auto"/>
            <w:bottom w:val="none" w:sz="0" w:space="0" w:color="auto"/>
            <w:right w:val="none" w:sz="0" w:space="0" w:color="auto"/>
          </w:divBdr>
        </w:div>
        <w:div w:id="74329522">
          <w:marLeft w:val="1440"/>
          <w:marRight w:val="0"/>
          <w:marTop w:val="0"/>
          <w:marBottom w:val="0"/>
          <w:divBdr>
            <w:top w:val="none" w:sz="0" w:space="0" w:color="auto"/>
            <w:left w:val="none" w:sz="0" w:space="0" w:color="auto"/>
            <w:bottom w:val="none" w:sz="0" w:space="0" w:color="auto"/>
            <w:right w:val="none" w:sz="0" w:space="0" w:color="auto"/>
          </w:divBdr>
        </w:div>
        <w:div w:id="603534898">
          <w:marLeft w:val="1440"/>
          <w:marRight w:val="0"/>
          <w:marTop w:val="0"/>
          <w:marBottom w:val="0"/>
          <w:divBdr>
            <w:top w:val="none" w:sz="0" w:space="0" w:color="auto"/>
            <w:left w:val="none" w:sz="0" w:space="0" w:color="auto"/>
            <w:bottom w:val="none" w:sz="0" w:space="0" w:color="auto"/>
            <w:right w:val="none" w:sz="0" w:space="0" w:color="auto"/>
          </w:divBdr>
        </w:div>
        <w:div w:id="2047631109">
          <w:marLeft w:val="720"/>
          <w:marRight w:val="0"/>
          <w:marTop w:val="0"/>
          <w:marBottom w:val="0"/>
          <w:divBdr>
            <w:top w:val="none" w:sz="0" w:space="0" w:color="auto"/>
            <w:left w:val="none" w:sz="0" w:space="0" w:color="auto"/>
            <w:bottom w:val="none" w:sz="0" w:space="0" w:color="auto"/>
            <w:right w:val="none" w:sz="0" w:space="0" w:color="auto"/>
          </w:divBdr>
        </w:div>
        <w:div w:id="2032141885">
          <w:marLeft w:val="1440"/>
          <w:marRight w:val="0"/>
          <w:marTop w:val="0"/>
          <w:marBottom w:val="0"/>
          <w:divBdr>
            <w:top w:val="none" w:sz="0" w:space="0" w:color="auto"/>
            <w:left w:val="none" w:sz="0" w:space="0" w:color="auto"/>
            <w:bottom w:val="none" w:sz="0" w:space="0" w:color="auto"/>
            <w:right w:val="none" w:sz="0" w:space="0" w:color="auto"/>
          </w:divBdr>
        </w:div>
        <w:div w:id="2049599866">
          <w:marLeft w:val="1440"/>
          <w:marRight w:val="0"/>
          <w:marTop w:val="0"/>
          <w:marBottom w:val="0"/>
          <w:divBdr>
            <w:top w:val="none" w:sz="0" w:space="0" w:color="auto"/>
            <w:left w:val="none" w:sz="0" w:space="0" w:color="auto"/>
            <w:bottom w:val="none" w:sz="0" w:space="0" w:color="auto"/>
            <w:right w:val="none" w:sz="0" w:space="0" w:color="auto"/>
          </w:divBdr>
        </w:div>
        <w:div w:id="1257979561">
          <w:marLeft w:val="1440"/>
          <w:marRight w:val="0"/>
          <w:marTop w:val="0"/>
          <w:marBottom w:val="0"/>
          <w:divBdr>
            <w:top w:val="none" w:sz="0" w:space="0" w:color="auto"/>
            <w:left w:val="none" w:sz="0" w:space="0" w:color="auto"/>
            <w:bottom w:val="none" w:sz="0" w:space="0" w:color="auto"/>
            <w:right w:val="none" w:sz="0" w:space="0" w:color="auto"/>
          </w:divBdr>
        </w:div>
        <w:div w:id="1920669852">
          <w:marLeft w:val="1440"/>
          <w:marRight w:val="0"/>
          <w:marTop w:val="0"/>
          <w:marBottom w:val="0"/>
          <w:divBdr>
            <w:top w:val="none" w:sz="0" w:space="0" w:color="auto"/>
            <w:left w:val="none" w:sz="0" w:space="0" w:color="auto"/>
            <w:bottom w:val="none" w:sz="0" w:space="0" w:color="auto"/>
            <w:right w:val="none" w:sz="0" w:space="0" w:color="auto"/>
          </w:divBdr>
        </w:div>
        <w:div w:id="452528260">
          <w:marLeft w:val="1440"/>
          <w:marRight w:val="0"/>
          <w:marTop w:val="0"/>
          <w:marBottom w:val="0"/>
          <w:divBdr>
            <w:top w:val="none" w:sz="0" w:space="0" w:color="auto"/>
            <w:left w:val="none" w:sz="0" w:space="0" w:color="auto"/>
            <w:bottom w:val="none" w:sz="0" w:space="0" w:color="auto"/>
            <w:right w:val="none" w:sz="0" w:space="0" w:color="auto"/>
          </w:divBdr>
        </w:div>
        <w:div w:id="1490753496">
          <w:marLeft w:val="1440"/>
          <w:marRight w:val="0"/>
          <w:marTop w:val="0"/>
          <w:marBottom w:val="0"/>
          <w:divBdr>
            <w:top w:val="none" w:sz="0" w:space="0" w:color="auto"/>
            <w:left w:val="none" w:sz="0" w:space="0" w:color="auto"/>
            <w:bottom w:val="none" w:sz="0" w:space="0" w:color="auto"/>
            <w:right w:val="none" w:sz="0" w:space="0" w:color="auto"/>
          </w:divBdr>
        </w:div>
      </w:divsChild>
    </w:div>
    <w:div w:id="1115515595">
      <w:bodyDiv w:val="1"/>
      <w:marLeft w:val="0"/>
      <w:marRight w:val="0"/>
      <w:marTop w:val="0"/>
      <w:marBottom w:val="0"/>
      <w:divBdr>
        <w:top w:val="none" w:sz="0" w:space="0" w:color="auto"/>
        <w:left w:val="none" w:sz="0" w:space="0" w:color="auto"/>
        <w:bottom w:val="none" w:sz="0" w:space="0" w:color="auto"/>
        <w:right w:val="none" w:sz="0" w:space="0" w:color="auto"/>
      </w:divBdr>
    </w:div>
    <w:div w:id="1164126352">
      <w:bodyDiv w:val="1"/>
      <w:marLeft w:val="0"/>
      <w:marRight w:val="0"/>
      <w:marTop w:val="0"/>
      <w:marBottom w:val="0"/>
      <w:divBdr>
        <w:top w:val="none" w:sz="0" w:space="0" w:color="auto"/>
        <w:left w:val="none" w:sz="0" w:space="0" w:color="auto"/>
        <w:bottom w:val="none" w:sz="0" w:space="0" w:color="auto"/>
        <w:right w:val="none" w:sz="0" w:space="0" w:color="auto"/>
      </w:divBdr>
    </w:div>
    <w:div w:id="1177115409">
      <w:bodyDiv w:val="1"/>
      <w:marLeft w:val="0"/>
      <w:marRight w:val="0"/>
      <w:marTop w:val="0"/>
      <w:marBottom w:val="0"/>
      <w:divBdr>
        <w:top w:val="none" w:sz="0" w:space="0" w:color="auto"/>
        <w:left w:val="none" w:sz="0" w:space="0" w:color="auto"/>
        <w:bottom w:val="none" w:sz="0" w:space="0" w:color="auto"/>
        <w:right w:val="none" w:sz="0" w:space="0" w:color="auto"/>
      </w:divBdr>
    </w:div>
    <w:div w:id="1359089846">
      <w:bodyDiv w:val="1"/>
      <w:marLeft w:val="0"/>
      <w:marRight w:val="0"/>
      <w:marTop w:val="0"/>
      <w:marBottom w:val="0"/>
      <w:divBdr>
        <w:top w:val="none" w:sz="0" w:space="0" w:color="auto"/>
        <w:left w:val="none" w:sz="0" w:space="0" w:color="auto"/>
        <w:bottom w:val="none" w:sz="0" w:space="0" w:color="auto"/>
        <w:right w:val="none" w:sz="0" w:space="0" w:color="auto"/>
      </w:divBdr>
    </w:div>
    <w:div w:id="1420445099">
      <w:bodyDiv w:val="1"/>
      <w:marLeft w:val="0"/>
      <w:marRight w:val="0"/>
      <w:marTop w:val="0"/>
      <w:marBottom w:val="0"/>
      <w:divBdr>
        <w:top w:val="none" w:sz="0" w:space="0" w:color="auto"/>
        <w:left w:val="none" w:sz="0" w:space="0" w:color="auto"/>
        <w:bottom w:val="none" w:sz="0" w:space="0" w:color="auto"/>
        <w:right w:val="none" w:sz="0" w:space="0" w:color="auto"/>
      </w:divBdr>
    </w:div>
    <w:div w:id="1483110739">
      <w:bodyDiv w:val="1"/>
      <w:marLeft w:val="0"/>
      <w:marRight w:val="0"/>
      <w:marTop w:val="0"/>
      <w:marBottom w:val="0"/>
      <w:divBdr>
        <w:top w:val="none" w:sz="0" w:space="0" w:color="auto"/>
        <w:left w:val="none" w:sz="0" w:space="0" w:color="auto"/>
        <w:bottom w:val="none" w:sz="0" w:space="0" w:color="auto"/>
        <w:right w:val="none" w:sz="0" w:space="0" w:color="auto"/>
      </w:divBdr>
    </w:div>
    <w:div w:id="1589659007">
      <w:bodyDiv w:val="1"/>
      <w:marLeft w:val="0"/>
      <w:marRight w:val="0"/>
      <w:marTop w:val="0"/>
      <w:marBottom w:val="0"/>
      <w:divBdr>
        <w:top w:val="none" w:sz="0" w:space="0" w:color="auto"/>
        <w:left w:val="none" w:sz="0" w:space="0" w:color="auto"/>
        <w:bottom w:val="none" w:sz="0" w:space="0" w:color="auto"/>
        <w:right w:val="none" w:sz="0" w:space="0" w:color="auto"/>
      </w:divBdr>
      <w:divsChild>
        <w:div w:id="1056659848">
          <w:marLeft w:val="0"/>
          <w:marRight w:val="0"/>
          <w:marTop w:val="0"/>
          <w:marBottom w:val="0"/>
          <w:divBdr>
            <w:top w:val="none" w:sz="0" w:space="0" w:color="auto"/>
            <w:left w:val="none" w:sz="0" w:space="0" w:color="auto"/>
            <w:bottom w:val="none" w:sz="0" w:space="0" w:color="auto"/>
            <w:right w:val="none" w:sz="0" w:space="0" w:color="auto"/>
          </w:divBdr>
        </w:div>
      </w:divsChild>
    </w:div>
    <w:div w:id="1627815112">
      <w:bodyDiv w:val="1"/>
      <w:marLeft w:val="0"/>
      <w:marRight w:val="0"/>
      <w:marTop w:val="0"/>
      <w:marBottom w:val="0"/>
      <w:divBdr>
        <w:top w:val="none" w:sz="0" w:space="0" w:color="auto"/>
        <w:left w:val="none" w:sz="0" w:space="0" w:color="auto"/>
        <w:bottom w:val="none" w:sz="0" w:space="0" w:color="auto"/>
        <w:right w:val="none" w:sz="0" w:space="0" w:color="auto"/>
      </w:divBdr>
    </w:div>
    <w:div w:id="1795364859">
      <w:bodyDiv w:val="1"/>
      <w:marLeft w:val="0"/>
      <w:marRight w:val="0"/>
      <w:marTop w:val="0"/>
      <w:marBottom w:val="0"/>
      <w:divBdr>
        <w:top w:val="none" w:sz="0" w:space="0" w:color="auto"/>
        <w:left w:val="none" w:sz="0" w:space="0" w:color="auto"/>
        <w:bottom w:val="none" w:sz="0" w:space="0" w:color="auto"/>
        <w:right w:val="none" w:sz="0" w:space="0" w:color="auto"/>
      </w:divBdr>
    </w:div>
    <w:div w:id="1803844303">
      <w:bodyDiv w:val="1"/>
      <w:marLeft w:val="0"/>
      <w:marRight w:val="0"/>
      <w:marTop w:val="0"/>
      <w:marBottom w:val="0"/>
      <w:divBdr>
        <w:top w:val="none" w:sz="0" w:space="0" w:color="auto"/>
        <w:left w:val="none" w:sz="0" w:space="0" w:color="auto"/>
        <w:bottom w:val="none" w:sz="0" w:space="0" w:color="auto"/>
        <w:right w:val="none" w:sz="0" w:space="0" w:color="auto"/>
      </w:divBdr>
    </w:div>
    <w:div w:id="1872759432">
      <w:bodyDiv w:val="1"/>
      <w:marLeft w:val="0"/>
      <w:marRight w:val="0"/>
      <w:marTop w:val="0"/>
      <w:marBottom w:val="0"/>
      <w:divBdr>
        <w:top w:val="none" w:sz="0" w:space="0" w:color="auto"/>
        <w:left w:val="none" w:sz="0" w:space="0" w:color="auto"/>
        <w:bottom w:val="none" w:sz="0" w:space="0" w:color="auto"/>
        <w:right w:val="none" w:sz="0" w:space="0" w:color="auto"/>
      </w:divBdr>
    </w:div>
    <w:div w:id="1878813551">
      <w:bodyDiv w:val="1"/>
      <w:marLeft w:val="0"/>
      <w:marRight w:val="0"/>
      <w:marTop w:val="0"/>
      <w:marBottom w:val="0"/>
      <w:divBdr>
        <w:top w:val="none" w:sz="0" w:space="0" w:color="auto"/>
        <w:left w:val="none" w:sz="0" w:space="0" w:color="auto"/>
        <w:bottom w:val="none" w:sz="0" w:space="0" w:color="auto"/>
        <w:right w:val="none" w:sz="0" w:space="0" w:color="auto"/>
      </w:divBdr>
    </w:div>
    <w:div w:id="1923567927">
      <w:bodyDiv w:val="1"/>
      <w:marLeft w:val="0"/>
      <w:marRight w:val="0"/>
      <w:marTop w:val="0"/>
      <w:marBottom w:val="0"/>
      <w:divBdr>
        <w:top w:val="none" w:sz="0" w:space="0" w:color="auto"/>
        <w:left w:val="none" w:sz="0" w:space="0" w:color="auto"/>
        <w:bottom w:val="none" w:sz="0" w:space="0" w:color="auto"/>
        <w:right w:val="none" w:sz="0" w:space="0" w:color="auto"/>
      </w:divBdr>
      <w:divsChild>
        <w:div w:id="1398473737">
          <w:marLeft w:val="720"/>
          <w:marRight w:val="0"/>
          <w:marTop w:val="0"/>
          <w:marBottom w:val="0"/>
          <w:divBdr>
            <w:top w:val="none" w:sz="0" w:space="0" w:color="auto"/>
            <w:left w:val="none" w:sz="0" w:space="0" w:color="auto"/>
            <w:bottom w:val="none" w:sz="0" w:space="0" w:color="auto"/>
            <w:right w:val="none" w:sz="0" w:space="0" w:color="auto"/>
          </w:divBdr>
        </w:div>
        <w:div w:id="1237738999">
          <w:marLeft w:val="1440"/>
          <w:marRight w:val="0"/>
          <w:marTop w:val="0"/>
          <w:marBottom w:val="0"/>
          <w:divBdr>
            <w:top w:val="none" w:sz="0" w:space="0" w:color="auto"/>
            <w:left w:val="none" w:sz="0" w:space="0" w:color="auto"/>
            <w:bottom w:val="none" w:sz="0" w:space="0" w:color="auto"/>
            <w:right w:val="none" w:sz="0" w:space="0" w:color="auto"/>
          </w:divBdr>
        </w:div>
        <w:div w:id="1131748537">
          <w:marLeft w:val="1440"/>
          <w:marRight w:val="0"/>
          <w:marTop w:val="0"/>
          <w:marBottom w:val="0"/>
          <w:divBdr>
            <w:top w:val="none" w:sz="0" w:space="0" w:color="auto"/>
            <w:left w:val="none" w:sz="0" w:space="0" w:color="auto"/>
            <w:bottom w:val="none" w:sz="0" w:space="0" w:color="auto"/>
            <w:right w:val="none" w:sz="0" w:space="0" w:color="auto"/>
          </w:divBdr>
        </w:div>
        <w:div w:id="533662838">
          <w:marLeft w:val="720"/>
          <w:marRight w:val="0"/>
          <w:marTop w:val="0"/>
          <w:marBottom w:val="0"/>
          <w:divBdr>
            <w:top w:val="none" w:sz="0" w:space="0" w:color="auto"/>
            <w:left w:val="none" w:sz="0" w:space="0" w:color="auto"/>
            <w:bottom w:val="none" w:sz="0" w:space="0" w:color="auto"/>
            <w:right w:val="none" w:sz="0" w:space="0" w:color="auto"/>
          </w:divBdr>
        </w:div>
        <w:div w:id="422457055">
          <w:marLeft w:val="1440"/>
          <w:marRight w:val="0"/>
          <w:marTop w:val="0"/>
          <w:marBottom w:val="0"/>
          <w:divBdr>
            <w:top w:val="none" w:sz="0" w:space="0" w:color="auto"/>
            <w:left w:val="none" w:sz="0" w:space="0" w:color="auto"/>
            <w:bottom w:val="none" w:sz="0" w:space="0" w:color="auto"/>
            <w:right w:val="none" w:sz="0" w:space="0" w:color="auto"/>
          </w:divBdr>
        </w:div>
        <w:div w:id="516506888">
          <w:marLeft w:val="1440"/>
          <w:marRight w:val="0"/>
          <w:marTop w:val="0"/>
          <w:marBottom w:val="0"/>
          <w:divBdr>
            <w:top w:val="none" w:sz="0" w:space="0" w:color="auto"/>
            <w:left w:val="none" w:sz="0" w:space="0" w:color="auto"/>
            <w:bottom w:val="none" w:sz="0" w:space="0" w:color="auto"/>
            <w:right w:val="none" w:sz="0" w:space="0" w:color="auto"/>
          </w:divBdr>
        </w:div>
        <w:div w:id="90012676">
          <w:marLeft w:val="720"/>
          <w:marRight w:val="0"/>
          <w:marTop w:val="0"/>
          <w:marBottom w:val="0"/>
          <w:divBdr>
            <w:top w:val="none" w:sz="0" w:space="0" w:color="auto"/>
            <w:left w:val="none" w:sz="0" w:space="0" w:color="auto"/>
            <w:bottom w:val="none" w:sz="0" w:space="0" w:color="auto"/>
            <w:right w:val="none" w:sz="0" w:space="0" w:color="auto"/>
          </w:divBdr>
        </w:div>
        <w:div w:id="755715126">
          <w:marLeft w:val="1440"/>
          <w:marRight w:val="0"/>
          <w:marTop w:val="0"/>
          <w:marBottom w:val="0"/>
          <w:divBdr>
            <w:top w:val="none" w:sz="0" w:space="0" w:color="auto"/>
            <w:left w:val="none" w:sz="0" w:space="0" w:color="auto"/>
            <w:bottom w:val="none" w:sz="0" w:space="0" w:color="auto"/>
            <w:right w:val="none" w:sz="0" w:space="0" w:color="auto"/>
          </w:divBdr>
        </w:div>
        <w:div w:id="325282704">
          <w:marLeft w:val="1440"/>
          <w:marRight w:val="0"/>
          <w:marTop w:val="0"/>
          <w:marBottom w:val="0"/>
          <w:divBdr>
            <w:top w:val="none" w:sz="0" w:space="0" w:color="auto"/>
            <w:left w:val="none" w:sz="0" w:space="0" w:color="auto"/>
            <w:bottom w:val="none" w:sz="0" w:space="0" w:color="auto"/>
            <w:right w:val="none" w:sz="0" w:space="0" w:color="auto"/>
          </w:divBdr>
        </w:div>
        <w:div w:id="1736539837">
          <w:marLeft w:val="1440"/>
          <w:marRight w:val="0"/>
          <w:marTop w:val="0"/>
          <w:marBottom w:val="0"/>
          <w:divBdr>
            <w:top w:val="none" w:sz="0" w:space="0" w:color="auto"/>
            <w:left w:val="none" w:sz="0" w:space="0" w:color="auto"/>
            <w:bottom w:val="none" w:sz="0" w:space="0" w:color="auto"/>
            <w:right w:val="none" w:sz="0" w:space="0" w:color="auto"/>
          </w:divBdr>
        </w:div>
        <w:div w:id="1153255166">
          <w:marLeft w:val="1440"/>
          <w:marRight w:val="0"/>
          <w:marTop w:val="0"/>
          <w:marBottom w:val="0"/>
          <w:divBdr>
            <w:top w:val="none" w:sz="0" w:space="0" w:color="auto"/>
            <w:left w:val="none" w:sz="0" w:space="0" w:color="auto"/>
            <w:bottom w:val="none" w:sz="0" w:space="0" w:color="auto"/>
            <w:right w:val="none" w:sz="0" w:space="0" w:color="auto"/>
          </w:divBdr>
        </w:div>
        <w:div w:id="555362179">
          <w:marLeft w:val="1440"/>
          <w:marRight w:val="0"/>
          <w:marTop w:val="0"/>
          <w:marBottom w:val="0"/>
          <w:divBdr>
            <w:top w:val="none" w:sz="0" w:space="0" w:color="auto"/>
            <w:left w:val="none" w:sz="0" w:space="0" w:color="auto"/>
            <w:bottom w:val="none" w:sz="0" w:space="0" w:color="auto"/>
            <w:right w:val="none" w:sz="0" w:space="0" w:color="auto"/>
          </w:divBdr>
        </w:div>
      </w:divsChild>
    </w:div>
    <w:div w:id="20486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ALL/?uri=CELEX%3A32002R215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ne.es/daco/daco42/clasificaciones/cnae09/notas.pdf" TargetMode="External"/><Relationship Id="rId4" Type="http://schemas.openxmlformats.org/officeDocument/2006/relationships/settings" Target="settings.xml"/><Relationship Id="rId9" Type="http://schemas.openxmlformats.org/officeDocument/2006/relationships/hyperlink" Target="https://www.ine.es/daco/daco42/clasificaciones/cnae09/estructura.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WORD\Plantilla1\papel%20ofici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15EA5-DEEF-4054-A558-71B5E49E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oficial</Template>
  <TotalTime>0</TotalTime>
  <Pages>8</Pages>
  <Words>2638</Words>
  <Characters>14673</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 </vt:lpstr>
    </vt:vector>
  </TitlesOfParts>
  <Company>M.A.P.</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Dolores Miñano Navarro</dc:creator>
  <cp:keywords/>
  <cp:lastModifiedBy>Castuera Gonzalez, Maria Jose (NILSA)</cp:lastModifiedBy>
  <cp:revision>2</cp:revision>
  <cp:lastPrinted>2023-02-06T11:02:00Z</cp:lastPrinted>
  <dcterms:created xsi:type="dcterms:W3CDTF">2023-04-05T11:25:00Z</dcterms:created>
  <dcterms:modified xsi:type="dcterms:W3CDTF">2023-04-05T11:25:00Z</dcterms:modified>
</cp:coreProperties>
</file>